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A765CF"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717078" w:rsidP="00A53B04">
            <w:pPr>
              <w:rPr>
                <w:rFonts w:cs="Arial"/>
                <w:szCs w:val="24"/>
              </w:rPr>
            </w:pPr>
            <w:r>
              <w:rPr>
                <w:rFonts w:cs="Arial"/>
                <w:szCs w:val="24"/>
              </w:rPr>
              <w:t>19 March</w:t>
            </w:r>
            <w:r w:rsidR="004F5AFC">
              <w:rPr>
                <w:rFonts w:cs="Arial"/>
                <w:szCs w:val="24"/>
              </w:rPr>
              <w:t xml:space="preserve"> 2020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r w:rsidR="004F5AFC">
              <w:rPr>
                <w:rFonts w:ascii="Arial Black" w:hAnsi="Arial Black" w:cs="Arial"/>
              </w:rPr>
              <w:t xml:space="preserve"> </w:t>
            </w:r>
          </w:p>
          <w:p w:rsidR="00333FAA" w:rsidRPr="00C13A5F" w:rsidRDefault="00333FAA" w:rsidP="00A53B04">
            <w:pPr>
              <w:pStyle w:val="Infotext"/>
              <w:rPr>
                <w:rFonts w:ascii="Arial Black" w:hAnsi="Arial Black"/>
              </w:rPr>
            </w:pPr>
          </w:p>
        </w:tc>
        <w:tc>
          <w:tcPr>
            <w:tcW w:w="5054" w:type="dxa"/>
          </w:tcPr>
          <w:p w:rsidR="00333FAA" w:rsidRPr="007F1DA9" w:rsidRDefault="009612DB" w:rsidP="00A53B04">
            <w:pPr>
              <w:rPr>
                <w:rFonts w:cs="Arial"/>
                <w:b/>
                <w:szCs w:val="24"/>
              </w:rPr>
            </w:pPr>
            <w:r>
              <w:rPr>
                <w:rFonts w:cs="Arial"/>
                <w:szCs w:val="24"/>
              </w:rPr>
              <w:t>2020-2021 Security, Health and Safety Compliance (</w:t>
            </w:r>
            <w:proofErr w:type="spellStart"/>
            <w:r>
              <w:rPr>
                <w:rFonts w:cs="Arial"/>
                <w:szCs w:val="24"/>
              </w:rPr>
              <w:t>Homesafe</w:t>
            </w:r>
            <w:proofErr w:type="spellEnd"/>
            <w:r>
              <w:rPr>
                <w:rFonts w:cs="Arial"/>
                <w:szCs w:val="24"/>
              </w:rPr>
              <w:t>) Works</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Pr="005E3A10" w:rsidRDefault="004F5AFC" w:rsidP="001C7E35">
            <w:pPr>
              <w:pStyle w:val="Infotext"/>
              <w:rPr>
                <w:rFonts w:cs="Arial"/>
                <w:sz w:val="24"/>
                <w:szCs w:val="24"/>
              </w:rPr>
            </w:pPr>
            <w:r>
              <w:rPr>
                <w:rFonts w:cs="Arial"/>
                <w:sz w:val="24"/>
                <w:szCs w:val="24"/>
              </w:rPr>
              <w:t>Yes</w:t>
            </w:r>
          </w:p>
          <w:p w:rsidR="00333FAA" w:rsidRPr="005E3A10" w:rsidRDefault="001716AF" w:rsidP="0026342A">
            <w:pPr>
              <w:pStyle w:val="Infotext"/>
              <w:rPr>
                <w:rFonts w:cs="Arial"/>
                <w:szCs w:val="24"/>
              </w:rPr>
            </w:pPr>
            <w:r w:rsidRPr="005E3A10">
              <w:rPr>
                <w:rFonts w:cs="Arial"/>
                <w:sz w:val="24"/>
                <w:szCs w:val="24"/>
              </w:rPr>
              <w:t xml:space="preserve"> </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716AF" w:rsidRPr="001716AF" w:rsidRDefault="001716AF" w:rsidP="001716AF">
            <w:pPr>
              <w:pStyle w:val="Infotext"/>
              <w:rPr>
                <w:rFonts w:cs="Arial"/>
                <w:sz w:val="24"/>
                <w:szCs w:val="24"/>
              </w:rPr>
            </w:pPr>
            <w:r w:rsidRPr="001716AF">
              <w:rPr>
                <w:rFonts w:cs="Arial"/>
                <w:sz w:val="24"/>
                <w:szCs w:val="24"/>
              </w:rPr>
              <w:t xml:space="preserve">Nick Powell, Divisional Director of Housing </w:t>
            </w:r>
          </w:p>
          <w:p w:rsidR="001C7E35" w:rsidRPr="001716AF" w:rsidRDefault="001C7E35" w:rsidP="00D835CF">
            <w:pPr>
              <w:pStyle w:val="Infotext"/>
              <w:rPr>
                <w:rFonts w:cs="Arial"/>
                <w:sz w:val="24"/>
                <w:szCs w:val="24"/>
              </w:rPr>
            </w:pPr>
          </w:p>
          <w:p w:rsidR="001C7E35" w:rsidRPr="001716AF" w:rsidRDefault="001C7E35" w:rsidP="00D835CF">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54C28" w:rsidRDefault="00470918" w:rsidP="00D835CF">
            <w:pPr>
              <w:pStyle w:val="Infotext"/>
              <w:rPr>
                <w:rFonts w:cs="Arial"/>
                <w:sz w:val="24"/>
                <w:szCs w:val="24"/>
              </w:rPr>
            </w:pPr>
            <w:r>
              <w:rPr>
                <w:rFonts w:cs="Arial"/>
                <w:sz w:val="24"/>
                <w:szCs w:val="24"/>
              </w:rPr>
              <w:t>Councillor Philip O’Dell,</w:t>
            </w:r>
            <w:r w:rsidR="001716AF" w:rsidRPr="00470918">
              <w:rPr>
                <w:rFonts w:cs="Arial"/>
                <w:sz w:val="24"/>
                <w:szCs w:val="24"/>
              </w:rPr>
              <w:t xml:space="preserve"> Portfolio Holder for Housing</w:t>
            </w:r>
          </w:p>
          <w:p w:rsidR="001716AF" w:rsidRPr="00470918" w:rsidRDefault="001716AF" w:rsidP="00D835CF">
            <w:pPr>
              <w:pStyle w:val="Infotext"/>
              <w:rPr>
                <w:rFonts w:cs="Arial"/>
                <w:sz w:val="24"/>
                <w:szCs w:val="24"/>
              </w:rPr>
            </w:pPr>
            <w:r w:rsidRPr="00470918">
              <w:rPr>
                <w:rFonts w:cs="Arial"/>
                <w:sz w:val="24"/>
                <w:szCs w:val="24"/>
              </w:rPr>
              <w:t>Councillor Adam Swersky</w:t>
            </w:r>
            <w:r w:rsidR="00470918">
              <w:rPr>
                <w:rFonts w:cs="Arial"/>
                <w:sz w:val="24"/>
                <w:szCs w:val="24"/>
              </w:rPr>
              <w:t>,</w:t>
            </w:r>
            <w:r w:rsidRPr="00470918">
              <w:rPr>
                <w:rFonts w:cs="Arial"/>
                <w:sz w:val="24"/>
                <w:szCs w:val="24"/>
              </w:rPr>
              <w:t xml:space="preserve"> P</w:t>
            </w:r>
            <w:r w:rsidR="00154C28">
              <w:rPr>
                <w:rFonts w:cs="Arial"/>
                <w:sz w:val="24"/>
                <w:szCs w:val="24"/>
              </w:rPr>
              <w:t>ortfolio Holder for Finance and Resources</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D835CF">
            <w:pPr>
              <w:pStyle w:val="Infotext"/>
              <w:rPr>
                <w:rFonts w:cs="Arial"/>
                <w:color w:val="FF0000"/>
                <w:sz w:val="24"/>
                <w:szCs w:val="24"/>
              </w:rPr>
            </w:pP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F4165F" w:rsidP="00D835CF">
            <w:pPr>
              <w:pStyle w:val="Infotext"/>
              <w:rPr>
                <w:rFonts w:cs="Arial"/>
                <w:sz w:val="24"/>
                <w:szCs w:val="24"/>
              </w:rPr>
            </w:pPr>
            <w:r>
              <w:rPr>
                <w:rFonts w:cs="Arial"/>
                <w:sz w:val="24"/>
                <w:szCs w:val="24"/>
              </w:rPr>
              <w:t>Yes</w:t>
            </w:r>
          </w:p>
          <w:p w:rsidR="00714BEE" w:rsidRPr="005E3A10" w:rsidRDefault="00714BEE" w:rsidP="00F4165F">
            <w:pPr>
              <w:rPr>
                <w:rFonts w:cs="Arial"/>
                <w:szCs w:val="24"/>
              </w:rPr>
            </w:pP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F4165F" w:rsidRDefault="007F1DA9" w:rsidP="00D835CF">
            <w:pPr>
              <w:rPr>
                <w:rFonts w:cs="Arial"/>
                <w:szCs w:val="24"/>
              </w:rPr>
            </w:pPr>
            <w:r>
              <w:rPr>
                <w:rFonts w:cs="Arial"/>
                <w:szCs w:val="24"/>
              </w:rPr>
              <w:t>All</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Pr="005E3A10" w:rsidRDefault="0026342A" w:rsidP="00DB6C3D">
            <w:pPr>
              <w:pStyle w:val="Infotext"/>
              <w:rPr>
                <w:color w:val="FF0000"/>
                <w:sz w:val="24"/>
                <w:szCs w:val="24"/>
              </w:rPr>
            </w:pPr>
            <w:r>
              <w:rPr>
                <w:rFonts w:cs="Arial"/>
                <w:sz w:val="24"/>
                <w:szCs w:val="24"/>
              </w:rPr>
              <w:t>None</w:t>
            </w: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D225B3" w:rsidRDefault="00D225B3" w:rsidP="00D225B3">
            <w:pPr>
              <w:rPr>
                <w:color w:val="FF0000"/>
              </w:rPr>
            </w:pPr>
            <w:r w:rsidRPr="00E622DD">
              <w:t xml:space="preserve">This report asks Cabinet for authority to go to the market </w:t>
            </w:r>
            <w:r>
              <w:t>and procure a contractor to deliver a</w:t>
            </w:r>
            <w:r w:rsidRPr="00C76F8E">
              <w:rPr>
                <w:rFonts w:cs="Arial"/>
                <w:szCs w:val="24"/>
              </w:rPr>
              <w:t xml:space="preserve"> Security, </w:t>
            </w:r>
            <w:r>
              <w:rPr>
                <w:rFonts w:cs="Arial"/>
                <w:szCs w:val="24"/>
              </w:rPr>
              <w:t xml:space="preserve">Health &amp; Safety (“H&amp;S”) </w:t>
            </w:r>
            <w:r w:rsidRPr="00C76F8E">
              <w:rPr>
                <w:rFonts w:cs="Arial"/>
                <w:szCs w:val="24"/>
              </w:rPr>
              <w:t>C</w:t>
            </w:r>
            <w:r>
              <w:rPr>
                <w:rFonts w:cs="Arial"/>
                <w:szCs w:val="24"/>
              </w:rPr>
              <w:t>ompliance &amp; Common Parts Works</w:t>
            </w:r>
            <w:r w:rsidR="00973F10">
              <w:rPr>
                <w:rFonts w:cs="Arial"/>
                <w:szCs w:val="24"/>
              </w:rPr>
              <w:t xml:space="preserve"> known as ‘</w:t>
            </w:r>
            <w:proofErr w:type="spellStart"/>
            <w:r w:rsidR="00973F10">
              <w:rPr>
                <w:rFonts w:cs="Arial"/>
                <w:szCs w:val="24"/>
              </w:rPr>
              <w:t>Homesafe</w:t>
            </w:r>
            <w:proofErr w:type="spellEnd"/>
            <w:r w:rsidR="00973F10">
              <w:rPr>
                <w:rFonts w:cs="Arial"/>
                <w:szCs w:val="24"/>
              </w:rPr>
              <w:t xml:space="preserve"> 3’</w:t>
            </w:r>
            <w:r>
              <w:rPr>
                <w:rFonts w:cs="Arial"/>
                <w:szCs w:val="24"/>
              </w:rPr>
              <w:t xml:space="preserve">.  We anticipate letting a </w:t>
            </w:r>
            <w:r w:rsidR="007248E9">
              <w:rPr>
                <w:rFonts w:cs="Arial"/>
                <w:szCs w:val="24"/>
              </w:rPr>
              <w:t>5</w:t>
            </w:r>
            <w:r w:rsidR="00C65930">
              <w:rPr>
                <w:rFonts w:cs="Arial"/>
                <w:szCs w:val="24"/>
              </w:rPr>
              <w:t>2</w:t>
            </w:r>
            <w:r w:rsidR="003C4A48">
              <w:rPr>
                <w:rFonts w:cs="Arial"/>
                <w:szCs w:val="24"/>
              </w:rPr>
              <w:t>-</w:t>
            </w:r>
            <w:r>
              <w:rPr>
                <w:rFonts w:cs="Arial"/>
                <w:szCs w:val="24"/>
              </w:rPr>
              <w:t>week</w:t>
            </w:r>
            <w:r w:rsidRPr="00C76F8E">
              <w:rPr>
                <w:rFonts w:cs="Arial"/>
                <w:szCs w:val="24"/>
              </w:rPr>
              <w:t xml:space="preserve"> programme </w:t>
            </w:r>
            <w:r w:rsidRPr="00C76F8E">
              <w:t xml:space="preserve">as part of the </w:t>
            </w:r>
            <w:r w:rsidR="00C65930">
              <w:t>2020</w:t>
            </w:r>
            <w:r>
              <w:t xml:space="preserve">-2021 </w:t>
            </w:r>
            <w:r w:rsidRPr="00C76F8E">
              <w:t xml:space="preserve">Housing Capital </w:t>
            </w:r>
            <w:r w:rsidR="00555B55">
              <w:tab/>
            </w:r>
            <w:r w:rsidRPr="00C76F8E">
              <w:t>Programme.</w:t>
            </w:r>
            <w:r>
              <w:t xml:space="preserve">  </w:t>
            </w:r>
          </w:p>
          <w:p w:rsidR="00D225B3" w:rsidRDefault="00D225B3" w:rsidP="00D225B3"/>
          <w:p w:rsidR="001C7E35" w:rsidRDefault="00B52507" w:rsidP="00D225B3">
            <w:pPr>
              <w:rPr>
                <w:color w:val="0000FF"/>
              </w:rPr>
            </w:pPr>
            <w:r>
              <w:t>The report also seeks</w:t>
            </w:r>
            <w:r w:rsidR="00D225B3">
              <w:t xml:space="preserve"> authority to award the contract following the outcome of</w:t>
            </w:r>
            <w:r w:rsidR="00C65930">
              <w:t xml:space="preserve"> </w:t>
            </w:r>
            <w:r w:rsidR="001C52DD">
              <w:t xml:space="preserve">the </w:t>
            </w:r>
            <w:r w:rsidR="00C65930">
              <w:t xml:space="preserve">tendering </w:t>
            </w:r>
            <w:r w:rsidR="001C52DD">
              <w:t>p</w:t>
            </w:r>
            <w:r w:rsidR="00C65930">
              <w:t>rocess.</w:t>
            </w:r>
          </w:p>
          <w:p w:rsidR="001C7E35" w:rsidRDefault="001C7E35" w:rsidP="001C7E35">
            <w:pPr>
              <w:pStyle w:val="Heading2"/>
            </w:pPr>
          </w:p>
          <w:p w:rsidR="007F1DA9" w:rsidRPr="007F1DA9" w:rsidRDefault="007F1DA9" w:rsidP="007F1DA9"/>
          <w:p w:rsidR="001C7E35" w:rsidRDefault="001C7E35" w:rsidP="001C7E35">
            <w:pPr>
              <w:pStyle w:val="Heading2"/>
            </w:pPr>
            <w:r>
              <w:lastRenderedPageBreak/>
              <w:t xml:space="preserve">Recommendations: </w:t>
            </w:r>
          </w:p>
          <w:p w:rsidR="00616237" w:rsidRDefault="00DF064A" w:rsidP="0054590F">
            <w:r>
              <w:t xml:space="preserve">That </w:t>
            </w:r>
          </w:p>
          <w:p w:rsidR="009D3A45" w:rsidRDefault="001055C2" w:rsidP="009D3A45">
            <w:pPr>
              <w:numPr>
                <w:ilvl w:val="0"/>
                <w:numId w:val="46"/>
              </w:numPr>
            </w:pPr>
            <w:r>
              <w:t xml:space="preserve">The Divisional Director of </w:t>
            </w:r>
            <w:r w:rsidR="0007690A">
              <w:t xml:space="preserve">Housing </w:t>
            </w:r>
            <w:r>
              <w:t>be</w:t>
            </w:r>
            <w:r w:rsidR="00E55D55">
              <w:t xml:space="preserve"> </w:t>
            </w:r>
            <w:r w:rsidR="001352A8">
              <w:t xml:space="preserve">authorised </w:t>
            </w:r>
            <w:r w:rsidR="00C65930">
              <w:t>to undertake a procurement process for a contractor</w:t>
            </w:r>
            <w:r w:rsidR="002075B1">
              <w:t xml:space="preserve"> or contractors</w:t>
            </w:r>
            <w:r w:rsidR="00C65930">
              <w:t xml:space="preserve"> to </w:t>
            </w:r>
            <w:r w:rsidR="00C65930" w:rsidRPr="008E3440">
              <w:rPr>
                <w:rFonts w:cs="Arial"/>
              </w:rPr>
              <w:t xml:space="preserve">deliver </w:t>
            </w:r>
            <w:r w:rsidR="00C65930">
              <w:rPr>
                <w:rFonts w:cs="Arial"/>
              </w:rPr>
              <w:t xml:space="preserve">a variety of </w:t>
            </w:r>
            <w:r w:rsidR="00C65930" w:rsidRPr="00BF0587">
              <w:rPr>
                <w:rFonts w:cs="Arial"/>
              </w:rPr>
              <w:t xml:space="preserve">Security, </w:t>
            </w:r>
            <w:r w:rsidR="00C65930">
              <w:rPr>
                <w:rFonts w:cs="Arial"/>
              </w:rPr>
              <w:t>H&amp;S Compliance &amp; common parts w</w:t>
            </w:r>
            <w:r w:rsidR="00C65930" w:rsidRPr="00BF0587">
              <w:rPr>
                <w:rFonts w:cs="Arial"/>
              </w:rPr>
              <w:t>orks</w:t>
            </w:r>
            <w:r w:rsidR="00C65930">
              <w:rPr>
                <w:rFonts w:cs="Arial"/>
              </w:rPr>
              <w:t>,</w:t>
            </w:r>
            <w:r w:rsidR="00C65930" w:rsidRPr="00BF0587">
              <w:rPr>
                <w:rFonts w:cs="Arial"/>
              </w:rPr>
              <w:t xml:space="preserve"> </w:t>
            </w:r>
            <w:r w:rsidR="00C65930">
              <w:rPr>
                <w:rFonts w:cs="Arial"/>
              </w:rPr>
              <w:t xml:space="preserve">including </w:t>
            </w:r>
            <w:r w:rsidR="00C65930" w:rsidRPr="00920949">
              <w:rPr>
                <w:rFonts w:cs="Arial"/>
              </w:rPr>
              <w:t>fire safety works</w:t>
            </w:r>
            <w:r w:rsidR="00C65930">
              <w:rPr>
                <w:rFonts w:cs="Arial"/>
              </w:rPr>
              <w:t xml:space="preserve"> as part of general improvements to the safety of HRA dwelling s</w:t>
            </w:r>
            <w:r w:rsidR="002D7CFB">
              <w:rPr>
                <w:rFonts w:cs="Arial"/>
              </w:rPr>
              <w:t>tock, funded entirely from HRA C</w:t>
            </w:r>
            <w:r w:rsidR="00C65930">
              <w:rPr>
                <w:rFonts w:cs="Arial"/>
              </w:rPr>
              <w:t>apital resources in financial years 2020 and 2021</w:t>
            </w:r>
            <w:r w:rsidR="00214E62">
              <w:rPr>
                <w:rFonts w:cs="Arial"/>
              </w:rPr>
              <w:t xml:space="preserve"> (rolling over into year 2022)</w:t>
            </w:r>
            <w:r w:rsidR="00C65930" w:rsidRPr="008A75AC">
              <w:rPr>
                <w:rFonts w:cs="Arial"/>
                <w:color w:val="000000"/>
              </w:rPr>
              <w:t>.</w:t>
            </w:r>
          </w:p>
          <w:p w:rsidR="00591016" w:rsidRDefault="00A5778F" w:rsidP="009D3A45">
            <w:pPr>
              <w:numPr>
                <w:ilvl w:val="0"/>
                <w:numId w:val="46"/>
              </w:numPr>
            </w:pPr>
            <w:r>
              <w:t>T</w:t>
            </w:r>
            <w:r w:rsidR="008A146B" w:rsidRPr="008A146B">
              <w:t>he Corporate Director of Community</w:t>
            </w:r>
            <w:r w:rsidR="00DF064A">
              <w:t xml:space="preserve"> be authorised,</w:t>
            </w:r>
            <w:r w:rsidR="00E03C46">
              <w:t xml:space="preserve"> following</w:t>
            </w:r>
            <w:r w:rsidR="008A146B" w:rsidRPr="008A146B">
              <w:t xml:space="preserve"> consultation with the </w:t>
            </w:r>
            <w:r w:rsidR="00E03C46">
              <w:t xml:space="preserve">Portfolio Holder for Housing </w:t>
            </w:r>
            <w:r w:rsidR="009D3A45">
              <w:t>and t</w:t>
            </w:r>
            <w:r w:rsidR="009D3A45" w:rsidRPr="009D3A45">
              <w:rPr>
                <w:rFonts w:cs="Arial"/>
                <w:szCs w:val="24"/>
                <w:lang w:eastAsia="en-GB"/>
              </w:rPr>
              <w:t>he Portfolio Holder</w:t>
            </w:r>
            <w:r w:rsidR="009D3A45">
              <w:t xml:space="preserve"> for </w:t>
            </w:r>
            <w:r w:rsidR="009D3A45" w:rsidRPr="009D3A45">
              <w:rPr>
                <w:rFonts w:cs="Arial"/>
                <w:szCs w:val="24"/>
                <w:lang w:eastAsia="en-GB"/>
              </w:rPr>
              <w:t xml:space="preserve">Finance and Resources, </w:t>
            </w:r>
            <w:r w:rsidR="00E03C46">
              <w:t xml:space="preserve">together with </w:t>
            </w:r>
            <w:r w:rsidR="009F38A9">
              <w:t>the Director</w:t>
            </w:r>
            <w:r w:rsidR="008A146B" w:rsidRPr="008A146B">
              <w:t xml:space="preserve"> of Finance</w:t>
            </w:r>
            <w:r w:rsidR="00DF064A">
              <w:t>,</w:t>
            </w:r>
            <w:r w:rsidR="008A146B" w:rsidRPr="008A146B">
              <w:t xml:space="preserve"> </w:t>
            </w:r>
            <w:r w:rsidR="008A146B">
              <w:t xml:space="preserve">to </w:t>
            </w:r>
            <w:r w:rsidR="00E03C46">
              <w:t xml:space="preserve">enter into the procurement and implementation </w:t>
            </w:r>
            <w:r w:rsidR="00C65930">
              <w:t xml:space="preserve">of </w:t>
            </w:r>
            <w:r w:rsidR="00E03C46">
              <w:t xml:space="preserve">the </w:t>
            </w:r>
            <w:r w:rsidR="00C65930">
              <w:t>contract</w:t>
            </w:r>
            <w:r w:rsidR="00E03C46">
              <w:t>(s)</w:t>
            </w:r>
            <w:r w:rsidR="00C65930">
              <w:t xml:space="preserve"> </w:t>
            </w:r>
            <w:r w:rsidR="00E97D5B">
              <w:t xml:space="preserve">to the value </w:t>
            </w:r>
            <w:r w:rsidR="00E03C46">
              <w:t>specified in the capital programme.</w:t>
            </w:r>
            <w:r w:rsidR="00E03C46" w:rsidDel="00E03C46">
              <w:t xml:space="preserve"> </w:t>
            </w:r>
          </w:p>
          <w:p w:rsidR="000412C8" w:rsidRDefault="000412C8" w:rsidP="000412C8">
            <w:pPr>
              <w:pStyle w:val="ListParagraph"/>
            </w:pPr>
          </w:p>
          <w:p w:rsidR="00146BA7" w:rsidRPr="00146BA7" w:rsidRDefault="001C7E35" w:rsidP="00146BA7">
            <w:pPr>
              <w:pStyle w:val="Heading2"/>
            </w:pPr>
            <w:r>
              <w:t xml:space="preserve">Reason:  </w:t>
            </w:r>
            <w:r w:rsidRPr="007F1DA9">
              <w:rPr>
                <w:sz w:val="24"/>
              </w:rPr>
              <w:t>(For recommendation</w:t>
            </w:r>
            <w:r w:rsidR="00714BEE" w:rsidRPr="007F1DA9">
              <w:rPr>
                <w:sz w:val="24"/>
              </w:rPr>
              <w:t>s</w:t>
            </w:r>
            <w:r w:rsidRPr="001F04EF">
              <w:rPr>
                <w:sz w:val="22"/>
              </w:rPr>
              <w:t>)</w:t>
            </w:r>
            <w:r w:rsidR="00F91AE4" w:rsidRPr="001F04EF">
              <w:rPr>
                <w:sz w:val="22"/>
              </w:rPr>
              <w:t xml:space="preserve"> </w:t>
            </w:r>
            <w:r w:rsidR="00FC0862" w:rsidRPr="001F04EF">
              <w:rPr>
                <w:sz w:val="22"/>
              </w:rPr>
              <w:t xml:space="preserve"> </w:t>
            </w:r>
            <w:r w:rsidRPr="001F04EF">
              <w:rPr>
                <w:sz w:val="22"/>
              </w:rPr>
              <w:t xml:space="preserve"> </w:t>
            </w:r>
          </w:p>
          <w:p w:rsidR="00C65930" w:rsidRDefault="00C65930" w:rsidP="00C65930">
            <w:r>
              <w:t xml:space="preserve">Due to the estimated value of the </w:t>
            </w:r>
            <w:r w:rsidR="005F004C">
              <w:t>contract,</w:t>
            </w:r>
            <w:r>
              <w:t xml:space="preserve"> Cabinet approval </w:t>
            </w:r>
            <w:r w:rsidR="00DF064A">
              <w:t xml:space="preserve">was required </w:t>
            </w:r>
            <w:r>
              <w:t xml:space="preserve">to </w:t>
            </w:r>
            <w:r w:rsidR="008A146B">
              <w:t xml:space="preserve">procure and enter into the contract to </w:t>
            </w:r>
            <w:r>
              <w:t>comply with the Council’s Contract Procedure Rules.</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Pr="007174EB" w:rsidRDefault="00333FAA" w:rsidP="00333FAA">
      <w:pPr>
        <w:pStyle w:val="Heading1"/>
        <w:rPr>
          <w:sz w:val="28"/>
        </w:rPr>
      </w:pPr>
      <w:r w:rsidRPr="007174EB">
        <w:rPr>
          <w:sz w:val="28"/>
        </w:rPr>
        <w:t>Section 2 – Report</w:t>
      </w:r>
    </w:p>
    <w:p w:rsidR="00333FAA" w:rsidRDefault="00333FAA" w:rsidP="00333FAA">
      <w:pPr>
        <w:pStyle w:val="Heading2"/>
      </w:pPr>
    </w:p>
    <w:p w:rsidR="001C7E35" w:rsidRPr="00555B55" w:rsidRDefault="009A157C" w:rsidP="009A157C">
      <w:pPr>
        <w:pStyle w:val="Heading2"/>
        <w:rPr>
          <w:sz w:val="24"/>
        </w:rPr>
      </w:pPr>
      <w:r w:rsidRPr="00555B55">
        <w:rPr>
          <w:sz w:val="24"/>
        </w:rPr>
        <w:t>2 .</w:t>
      </w:r>
      <w:r w:rsidR="00555B55" w:rsidRPr="00555B55">
        <w:rPr>
          <w:sz w:val="24"/>
        </w:rPr>
        <w:tab/>
      </w:r>
      <w:r w:rsidR="001C7E35" w:rsidRPr="00555B55">
        <w:rPr>
          <w:sz w:val="24"/>
        </w:rPr>
        <w:t>Introduct</w:t>
      </w:r>
      <w:r w:rsidR="00E72F3E" w:rsidRPr="00555B55">
        <w:rPr>
          <w:sz w:val="24"/>
        </w:rPr>
        <w:t>ion</w:t>
      </w:r>
    </w:p>
    <w:p w:rsidR="009D3442" w:rsidRDefault="009D3442" w:rsidP="009D3442">
      <w:pPr>
        <w:rPr>
          <w:rFonts w:cs="Arial"/>
        </w:rPr>
      </w:pPr>
    </w:p>
    <w:p w:rsidR="009D3442" w:rsidRDefault="00616237" w:rsidP="00616237">
      <w:pPr>
        <w:ind w:left="720" w:hanging="720"/>
      </w:pPr>
      <w:r>
        <w:rPr>
          <w:rFonts w:cs="Arial"/>
        </w:rPr>
        <w:t>2.1</w:t>
      </w:r>
      <w:r>
        <w:rPr>
          <w:rFonts w:cs="Arial"/>
        </w:rPr>
        <w:tab/>
      </w:r>
      <w:r w:rsidR="009D3442" w:rsidRPr="001C500E">
        <w:rPr>
          <w:rFonts w:cs="Arial"/>
        </w:rPr>
        <w:t xml:space="preserve">The intention is to procure </w:t>
      </w:r>
      <w:r w:rsidR="009D3442">
        <w:rPr>
          <w:rFonts w:cs="Arial"/>
        </w:rPr>
        <w:t xml:space="preserve">and </w:t>
      </w:r>
      <w:r w:rsidR="009D3442" w:rsidRPr="001C500E">
        <w:rPr>
          <w:rFonts w:cs="Arial"/>
        </w:rPr>
        <w:t xml:space="preserve">commence works </w:t>
      </w:r>
      <w:r w:rsidR="00470918">
        <w:rPr>
          <w:rFonts w:cs="Arial"/>
        </w:rPr>
        <w:t xml:space="preserve">in the </w:t>
      </w:r>
      <w:r w:rsidR="009D3442">
        <w:rPr>
          <w:rFonts w:cs="Arial"/>
        </w:rPr>
        <w:t>financial year 2020</w:t>
      </w:r>
      <w:r w:rsidR="00CF6E22">
        <w:rPr>
          <w:rFonts w:cs="Arial"/>
        </w:rPr>
        <w:t>-</w:t>
      </w:r>
      <w:r w:rsidR="003C4A48">
        <w:rPr>
          <w:rFonts w:cs="Arial"/>
        </w:rPr>
        <w:t>21</w:t>
      </w:r>
      <w:r w:rsidR="009D3442">
        <w:rPr>
          <w:rFonts w:cs="Arial"/>
        </w:rPr>
        <w:t xml:space="preserve"> with relat</w:t>
      </w:r>
      <w:r w:rsidR="00CF6E22">
        <w:rPr>
          <w:rFonts w:cs="Arial"/>
        </w:rPr>
        <w:t xml:space="preserve">ed works completing </w:t>
      </w:r>
      <w:r w:rsidR="00470918">
        <w:rPr>
          <w:rFonts w:cs="Arial"/>
        </w:rPr>
        <w:t xml:space="preserve">in </w:t>
      </w:r>
      <w:r w:rsidR="00CF6E22">
        <w:rPr>
          <w:rFonts w:cs="Arial"/>
        </w:rPr>
        <w:t>20</w:t>
      </w:r>
      <w:r w:rsidR="003C4A48">
        <w:rPr>
          <w:rFonts w:cs="Arial"/>
        </w:rPr>
        <w:t>21</w:t>
      </w:r>
      <w:r w:rsidR="00CF6E22">
        <w:rPr>
          <w:rFonts w:cs="Arial"/>
        </w:rPr>
        <w:t>-</w:t>
      </w:r>
      <w:r w:rsidR="00214E62">
        <w:rPr>
          <w:rFonts w:cs="Arial"/>
        </w:rPr>
        <w:t>22</w:t>
      </w:r>
      <w:r w:rsidR="009D3442">
        <w:rPr>
          <w:rFonts w:cs="Arial"/>
        </w:rPr>
        <w:t>.</w:t>
      </w:r>
      <w:r w:rsidR="00CF6E22">
        <w:rPr>
          <w:rFonts w:cs="Arial"/>
        </w:rPr>
        <w:t xml:space="preserve"> </w:t>
      </w:r>
      <w:r w:rsidR="009D3442" w:rsidRPr="007D6F1E">
        <w:t>Cabinet approval is required to begin the process of procuring contractors for all projects with an estimated value in excess of £500</w:t>
      </w:r>
      <w:r w:rsidR="009D3442">
        <w:t>,000</w:t>
      </w:r>
      <w:r w:rsidR="009D3442" w:rsidRPr="007D6F1E">
        <w:t>.</w:t>
      </w:r>
    </w:p>
    <w:p w:rsidR="009D3442" w:rsidRDefault="009D3442" w:rsidP="009D3442">
      <w:pPr>
        <w:ind w:left="765"/>
      </w:pPr>
    </w:p>
    <w:p w:rsidR="008B68A7" w:rsidRDefault="00616237" w:rsidP="008B68A7">
      <w:pPr>
        <w:autoSpaceDE w:val="0"/>
        <w:autoSpaceDN w:val="0"/>
        <w:adjustRightInd w:val="0"/>
        <w:rPr>
          <w:rFonts w:cs="Arial"/>
          <w:szCs w:val="24"/>
          <w:lang w:eastAsia="en-GB"/>
        </w:rPr>
      </w:pPr>
      <w:r>
        <w:t>2.2</w:t>
      </w:r>
      <w:r>
        <w:tab/>
      </w:r>
      <w:r w:rsidR="008B68A7">
        <w:rPr>
          <w:rFonts w:cs="Arial"/>
          <w:szCs w:val="24"/>
          <w:lang w:eastAsia="en-GB"/>
        </w:rPr>
        <w:t>Cabinet is asked to delegate authority to award and to arrange the</w:t>
      </w:r>
    </w:p>
    <w:p w:rsidR="008B68A7" w:rsidRDefault="008B68A7" w:rsidP="00D42FEF">
      <w:pPr>
        <w:ind w:left="720"/>
        <w:rPr>
          <w:rFonts w:cs="Arial"/>
          <w:szCs w:val="24"/>
          <w:lang w:eastAsia="en-GB"/>
        </w:rPr>
      </w:pPr>
      <w:r>
        <w:rPr>
          <w:rFonts w:cs="Arial"/>
          <w:szCs w:val="24"/>
          <w:lang w:eastAsia="en-GB"/>
        </w:rPr>
        <w:t>execution of a contract(s) with the successful tenderer(s) to</w:t>
      </w:r>
    </w:p>
    <w:p w:rsidR="008B68A7" w:rsidRDefault="008B68A7" w:rsidP="00D42FEF">
      <w:pPr>
        <w:autoSpaceDE w:val="0"/>
        <w:autoSpaceDN w:val="0"/>
        <w:adjustRightInd w:val="0"/>
        <w:ind w:firstLine="720"/>
        <w:rPr>
          <w:rFonts w:cs="Arial"/>
          <w:szCs w:val="24"/>
          <w:lang w:eastAsia="en-GB"/>
        </w:rPr>
      </w:pPr>
      <w:r>
        <w:rPr>
          <w:rFonts w:cs="Arial"/>
          <w:szCs w:val="24"/>
          <w:lang w:eastAsia="en-GB"/>
        </w:rPr>
        <w:t>the Corporate Director of Community in consultation with the Portfolio</w:t>
      </w:r>
    </w:p>
    <w:p w:rsidR="008B68A7" w:rsidRDefault="008B68A7" w:rsidP="00D42FEF">
      <w:pPr>
        <w:autoSpaceDE w:val="0"/>
        <w:autoSpaceDN w:val="0"/>
        <w:adjustRightInd w:val="0"/>
        <w:ind w:firstLine="720"/>
        <w:rPr>
          <w:rFonts w:cs="Arial"/>
          <w:szCs w:val="24"/>
          <w:lang w:eastAsia="en-GB"/>
        </w:rPr>
      </w:pPr>
      <w:r>
        <w:rPr>
          <w:rFonts w:cs="Arial"/>
          <w:szCs w:val="24"/>
          <w:lang w:eastAsia="en-GB"/>
        </w:rPr>
        <w:t>Holder for Housing, together with the Director of Finance because of</w:t>
      </w:r>
    </w:p>
    <w:p w:rsidR="008B68A7" w:rsidRDefault="008B68A7" w:rsidP="00D42FEF">
      <w:pPr>
        <w:autoSpaceDE w:val="0"/>
        <w:autoSpaceDN w:val="0"/>
        <w:adjustRightInd w:val="0"/>
        <w:ind w:firstLine="720"/>
        <w:rPr>
          <w:rFonts w:cs="Arial"/>
          <w:szCs w:val="24"/>
          <w:lang w:eastAsia="en-GB"/>
        </w:rPr>
      </w:pPr>
      <w:r>
        <w:rPr>
          <w:rFonts w:cs="Arial"/>
          <w:szCs w:val="24"/>
          <w:lang w:eastAsia="en-GB"/>
        </w:rPr>
        <w:t>the timescales for this procurement exercise, to enable a phased start</w:t>
      </w:r>
    </w:p>
    <w:p w:rsidR="00E97D5B" w:rsidRPr="007B7BAC" w:rsidRDefault="008B68A7" w:rsidP="00D42FEF">
      <w:pPr>
        <w:ind w:left="720"/>
        <w:rPr>
          <w:rFonts w:cs="Arial"/>
        </w:rPr>
      </w:pPr>
      <w:r>
        <w:rPr>
          <w:rFonts w:cs="Arial"/>
          <w:szCs w:val="24"/>
          <w:lang w:eastAsia="en-GB"/>
        </w:rPr>
        <w:t>to the works up to the value of £2,400,00 over financial years 2020/21 to 2021/22 as specified in the Capital programme approved by Council 13</w:t>
      </w:r>
      <w:r w:rsidRPr="000412C8">
        <w:rPr>
          <w:rFonts w:cs="Arial"/>
          <w:szCs w:val="24"/>
          <w:vertAlign w:val="superscript"/>
          <w:lang w:eastAsia="en-GB"/>
        </w:rPr>
        <w:t>th</w:t>
      </w:r>
      <w:r>
        <w:rPr>
          <w:rFonts w:cs="Arial"/>
          <w:szCs w:val="24"/>
          <w:lang w:eastAsia="en-GB"/>
        </w:rPr>
        <w:t xml:space="preserve"> February 2020.</w:t>
      </w:r>
    </w:p>
    <w:p w:rsidR="009D3442" w:rsidRPr="007D6F1E" w:rsidRDefault="009D3442" w:rsidP="009D3442"/>
    <w:p w:rsidR="001C7E35" w:rsidRDefault="001C7E35" w:rsidP="001C7E35"/>
    <w:p w:rsidR="00214E62" w:rsidRPr="00555B55" w:rsidRDefault="001C7E35" w:rsidP="009D3A45">
      <w:pPr>
        <w:pStyle w:val="Heading2"/>
        <w:numPr>
          <w:ilvl w:val="0"/>
          <w:numId w:val="48"/>
        </w:numPr>
        <w:ind w:left="0" w:firstLine="0"/>
        <w:rPr>
          <w:sz w:val="24"/>
        </w:rPr>
      </w:pPr>
      <w:r w:rsidRPr="00555B55">
        <w:rPr>
          <w:sz w:val="24"/>
        </w:rPr>
        <w:t xml:space="preserve">Options </w:t>
      </w:r>
      <w:r w:rsidR="0086278D" w:rsidRPr="00555B55">
        <w:rPr>
          <w:sz w:val="24"/>
        </w:rPr>
        <w:t>considered</w:t>
      </w:r>
    </w:p>
    <w:p w:rsidR="00616237" w:rsidRPr="00616237" w:rsidRDefault="00616237" w:rsidP="00616237"/>
    <w:p w:rsidR="00214E62" w:rsidRDefault="00616237" w:rsidP="00214E62">
      <w:pPr>
        <w:pStyle w:val="Heading2"/>
        <w:rPr>
          <w:rFonts w:cs="Times New Roman"/>
          <w:b w:val="0"/>
          <w:bCs w:val="0"/>
          <w:sz w:val="24"/>
          <w:szCs w:val="20"/>
        </w:rPr>
      </w:pPr>
      <w:r>
        <w:rPr>
          <w:rFonts w:cs="Times New Roman"/>
          <w:b w:val="0"/>
          <w:bCs w:val="0"/>
          <w:sz w:val="24"/>
          <w:szCs w:val="20"/>
        </w:rPr>
        <w:t>3.1</w:t>
      </w:r>
      <w:r>
        <w:rPr>
          <w:rFonts w:cs="Times New Roman"/>
          <w:b w:val="0"/>
          <w:bCs w:val="0"/>
          <w:sz w:val="24"/>
          <w:szCs w:val="20"/>
        </w:rPr>
        <w:tab/>
      </w:r>
      <w:r w:rsidR="00214E62" w:rsidRPr="002B4441">
        <w:rPr>
          <w:rFonts w:cs="Times New Roman"/>
          <w:b w:val="0"/>
          <w:bCs w:val="0"/>
          <w:sz w:val="24"/>
          <w:szCs w:val="20"/>
        </w:rPr>
        <w:t>The procurement options considered were as follows:</w:t>
      </w:r>
    </w:p>
    <w:p w:rsidR="00214E62" w:rsidRPr="002B4441" w:rsidRDefault="00214E62" w:rsidP="00214E62">
      <w:pPr>
        <w:ind w:left="765"/>
      </w:pPr>
    </w:p>
    <w:p w:rsidR="00214E62" w:rsidRPr="002B4441" w:rsidRDefault="00214E62" w:rsidP="00616237">
      <w:pPr>
        <w:pStyle w:val="Heading2"/>
        <w:ind w:firstLine="720"/>
        <w:rPr>
          <w:rFonts w:cs="Times New Roman"/>
          <w:bCs w:val="0"/>
          <w:sz w:val="24"/>
          <w:szCs w:val="20"/>
        </w:rPr>
      </w:pPr>
      <w:r w:rsidRPr="002B4441">
        <w:rPr>
          <w:rFonts w:cs="Times New Roman"/>
          <w:bCs w:val="0"/>
          <w:sz w:val="24"/>
          <w:szCs w:val="20"/>
        </w:rPr>
        <w:t xml:space="preserve">a) Open tender and award to </w:t>
      </w:r>
      <w:r>
        <w:rPr>
          <w:rFonts w:cs="Times New Roman"/>
          <w:bCs w:val="0"/>
          <w:sz w:val="24"/>
          <w:szCs w:val="20"/>
        </w:rPr>
        <w:t xml:space="preserve">one </w:t>
      </w:r>
      <w:r w:rsidR="00D40B29">
        <w:rPr>
          <w:rFonts w:cs="Times New Roman"/>
          <w:bCs w:val="0"/>
          <w:sz w:val="24"/>
          <w:szCs w:val="20"/>
        </w:rPr>
        <w:t xml:space="preserve">or more </w:t>
      </w:r>
      <w:r w:rsidRPr="002B4441">
        <w:rPr>
          <w:rFonts w:cs="Times New Roman"/>
          <w:bCs w:val="0"/>
          <w:sz w:val="24"/>
          <w:szCs w:val="20"/>
        </w:rPr>
        <w:t>provider</w:t>
      </w:r>
      <w:r w:rsidR="00D40B29">
        <w:rPr>
          <w:rFonts w:cs="Times New Roman"/>
          <w:bCs w:val="0"/>
          <w:sz w:val="24"/>
          <w:szCs w:val="20"/>
        </w:rPr>
        <w:t>s</w:t>
      </w:r>
      <w:r>
        <w:rPr>
          <w:rFonts w:cs="Times New Roman"/>
          <w:bCs w:val="0"/>
          <w:sz w:val="24"/>
          <w:szCs w:val="20"/>
        </w:rPr>
        <w:t>.</w:t>
      </w:r>
    </w:p>
    <w:p w:rsidR="00214E62" w:rsidRDefault="00155A4C" w:rsidP="00616237">
      <w:pPr>
        <w:pStyle w:val="Heading2"/>
        <w:ind w:left="720"/>
        <w:rPr>
          <w:rFonts w:cs="Times New Roman"/>
          <w:b w:val="0"/>
          <w:bCs w:val="0"/>
          <w:sz w:val="24"/>
          <w:szCs w:val="20"/>
        </w:rPr>
      </w:pPr>
      <w:r>
        <w:rPr>
          <w:rFonts w:cs="Times New Roman"/>
          <w:b w:val="0"/>
          <w:bCs w:val="0"/>
          <w:sz w:val="24"/>
          <w:szCs w:val="20"/>
        </w:rPr>
        <w:t>Engaging in an O</w:t>
      </w:r>
      <w:r w:rsidR="00214E62" w:rsidRPr="002B4441">
        <w:rPr>
          <w:rFonts w:cs="Times New Roman"/>
          <w:b w:val="0"/>
          <w:bCs w:val="0"/>
          <w:sz w:val="24"/>
          <w:szCs w:val="20"/>
        </w:rPr>
        <w:t xml:space="preserve">pen tender </w:t>
      </w:r>
      <w:r w:rsidR="00214E62">
        <w:rPr>
          <w:rFonts w:cs="Times New Roman"/>
          <w:b w:val="0"/>
          <w:bCs w:val="0"/>
          <w:sz w:val="24"/>
          <w:szCs w:val="20"/>
        </w:rPr>
        <w:t xml:space="preserve">which </w:t>
      </w:r>
      <w:r w:rsidR="00214E62" w:rsidRPr="002B4441">
        <w:rPr>
          <w:rFonts w:cs="Times New Roman"/>
          <w:b w:val="0"/>
          <w:bCs w:val="0"/>
          <w:sz w:val="24"/>
          <w:szCs w:val="20"/>
        </w:rPr>
        <w:t>in this instance would allow for wider competition.</w:t>
      </w:r>
      <w:r w:rsidR="00214E62">
        <w:rPr>
          <w:rFonts w:cs="Times New Roman"/>
          <w:b w:val="0"/>
          <w:bCs w:val="0"/>
          <w:sz w:val="24"/>
          <w:szCs w:val="20"/>
        </w:rPr>
        <w:t xml:space="preserve"> This would be subject to </w:t>
      </w:r>
      <w:r w:rsidR="00D40B29">
        <w:rPr>
          <w:rFonts w:cs="Times New Roman"/>
          <w:b w:val="0"/>
          <w:bCs w:val="0"/>
          <w:sz w:val="24"/>
          <w:szCs w:val="20"/>
        </w:rPr>
        <w:t>s</w:t>
      </w:r>
      <w:r w:rsidR="00214E62">
        <w:rPr>
          <w:rFonts w:cs="Times New Roman"/>
          <w:b w:val="0"/>
          <w:bCs w:val="0"/>
          <w:sz w:val="24"/>
          <w:szCs w:val="20"/>
        </w:rPr>
        <w:t xml:space="preserve">tatutory </w:t>
      </w:r>
      <w:r w:rsidR="00D40B29">
        <w:rPr>
          <w:rFonts w:cs="Times New Roman"/>
          <w:b w:val="0"/>
          <w:bCs w:val="0"/>
          <w:sz w:val="24"/>
          <w:szCs w:val="20"/>
        </w:rPr>
        <w:t>consultation requirements (</w:t>
      </w:r>
      <w:r w:rsidR="00214E62">
        <w:rPr>
          <w:rFonts w:cs="Times New Roman"/>
          <w:b w:val="0"/>
          <w:bCs w:val="0"/>
          <w:sz w:val="24"/>
          <w:szCs w:val="20"/>
        </w:rPr>
        <w:t xml:space="preserve">Section 20 </w:t>
      </w:r>
      <w:r w:rsidR="00973F10">
        <w:rPr>
          <w:rFonts w:cs="Times New Roman"/>
          <w:b w:val="0"/>
          <w:bCs w:val="0"/>
          <w:sz w:val="24"/>
          <w:szCs w:val="20"/>
        </w:rPr>
        <w:t xml:space="preserve">of the </w:t>
      </w:r>
      <w:r w:rsidR="00BF757B">
        <w:rPr>
          <w:rFonts w:cs="Times New Roman"/>
          <w:b w:val="0"/>
          <w:bCs w:val="0"/>
          <w:sz w:val="24"/>
          <w:szCs w:val="20"/>
        </w:rPr>
        <w:t xml:space="preserve">Landlord &amp; Tenant Act 1985 as amended by the </w:t>
      </w:r>
      <w:proofErr w:type="spellStart"/>
      <w:r w:rsidR="00973F10">
        <w:rPr>
          <w:rFonts w:cs="Times New Roman"/>
          <w:b w:val="0"/>
          <w:bCs w:val="0"/>
          <w:sz w:val="24"/>
          <w:szCs w:val="20"/>
        </w:rPr>
        <w:t>Commonhold</w:t>
      </w:r>
      <w:proofErr w:type="spellEnd"/>
      <w:r w:rsidR="00973F10">
        <w:rPr>
          <w:rFonts w:cs="Times New Roman"/>
          <w:b w:val="0"/>
          <w:bCs w:val="0"/>
          <w:sz w:val="24"/>
          <w:szCs w:val="20"/>
        </w:rPr>
        <w:t xml:space="preserve"> and Leasehold Reform Act 2002 </w:t>
      </w:r>
      <w:r w:rsidR="00D40B29">
        <w:rPr>
          <w:rFonts w:cs="Times New Roman"/>
          <w:b w:val="0"/>
          <w:bCs w:val="0"/>
          <w:sz w:val="24"/>
          <w:szCs w:val="20"/>
        </w:rPr>
        <w:t xml:space="preserve">and the </w:t>
      </w:r>
      <w:r w:rsidR="00D40B29" w:rsidRPr="00D40B29">
        <w:rPr>
          <w:rFonts w:cs="Times New Roman"/>
          <w:b w:val="0"/>
          <w:bCs w:val="0"/>
          <w:sz w:val="24"/>
          <w:szCs w:val="20"/>
        </w:rPr>
        <w:t>Service Charges (Consultation Requirements) (England) Regulations 2003/1987</w:t>
      </w:r>
      <w:r w:rsidR="007955C6">
        <w:rPr>
          <w:rFonts w:cs="Times New Roman"/>
          <w:b w:val="0"/>
          <w:bCs w:val="0"/>
          <w:sz w:val="24"/>
          <w:szCs w:val="20"/>
        </w:rPr>
        <w:t>)</w:t>
      </w:r>
      <w:r w:rsidR="00D40B29" w:rsidRPr="00D40B29">
        <w:rPr>
          <w:rFonts w:cs="Times New Roman"/>
          <w:b w:val="0"/>
          <w:bCs w:val="0"/>
          <w:sz w:val="24"/>
          <w:szCs w:val="20"/>
        </w:rPr>
        <w:t xml:space="preserve"> </w:t>
      </w:r>
      <w:r w:rsidR="00973F10">
        <w:rPr>
          <w:rFonts w:cs="Times New Roman"/>
          <w:b w:val="0"/>
          <w:bCs w:val="0"/>
          <w:sz w:val="24"/>
          <w:szCs w:val="20"/>
        </w:rPr>
        <w:t xml:space="preserve">(“Section 20 consultation”) </w:t>
      </w:r>
      <w:r w:rsidR="00214E62">
        <w:rPr>
          <w:rFonts w:cs="Times New Roman"/>
          <w:b w:val="0"/>
          <w:bCs w:val="0"/>
          <w:sz w:val="24"/>
          <w:szCs w:val="20"/>
        </w:rPr>
        <w:t xml:space="preserve">and will allow </w:t>
      </w:r>
      <w:r w:rsidR="00616237">
        <w:rPr>
          <w:rFonts w:cs="Times New Roman"/>
          <w:b w:val="0"/>
          <w:bCs w:val="0"/>
          <w:sz w:val="24"/>
          <w:szCs w:val="20"/>
        </w:rPr>
        <w:t>the C</w:t>
      </w:r>
      <w:r w:rsidR="009A157C">
        <w:rPr>
          <w:rFonts w:cs="Times New Roman"/>
          <w:b w:val="0"/>
          <w:bCs w:val="0"/>
          <w:sz w:val="24"/>
          <w:szCs w:val="20"/>
        </w:rPr>
        <w:t>ouncil</w:t>
      </w:r>
      <w:r w:rsidR="00214E62">
        <w:rPr>
          <w:rFonts w:cs="Times New Roman"/>
          <w:b w:val="0"/>
          <w:bCs w:val="0"/>
          <w:sz w:val="24"/>
          <w:szCs w:val="20"/>
        </w:rPr>
        <w:t xml:space="preserve"> to recover </w:t>
      </w:r>
      <w:r w:rsidR="00616237">
        <w:rPr>
          <w:rFonts w:cs="Times New Roman"/>
          <w:b w:val="0"/>
          <w:bCs w:val="0"/>
          <w:sz w:val="24"/>
          <w:szCs w:val="20"/>
        </w:rPr>
        <w:t>a proportion of the costs from L</w:t>
      </w:r>
      <w:r w:rsidR="00214E62">
        <w:rPr>
          <w:rFonts w:cs="Times New Roman"/>
          <w:b w:val="0"/>
          <w:bCs w:val="0"/>
          <w:sz w:val="24"/>
          <w:szCs w:val="20"/>
        </w:rPr>
        <w:t xml:space="preserve">easeholders. </w:t>
      </w:r>
    </w:p>
    <w:p w:rsidR="00E72F3E" w:rsidRDefault="00E72F3E" w:rsidP="00214E62"/>
    <w:p w:rsidR="00214E62" w:rsidRPr="002B4441" w:rsidRDefault="00214E62" w:rsidP="00616237">
      <w:pPr>
        <w:ind w:firstLine="720"/>
        <w:rPr>
          <w:b/>
        </w:rPr>
      </w:pPr>
      <w:r w:rsidRPr="002B4441">
        <w:rPr>
          <w:b/>
        </w:rPr>
        <w:t>b) Setting up a framework</w:t>
      </w:r>
    </w:p>
    <w:p w:rsidR="00214E62" w:rsidRDefault="00214E62" w:rsidP="00616237">
      <w:pPr>
        <w:ind w:left="720"/>
      </w:pPr>
      <w:r>
        <w:t xml:space="preserve"> A </w:t>
      </w:r>
      <w:r w:rsidR="007955C6">
        <w:t xml:space="preserve">works </w:t>
      </w:r>
      <w:r>
        <w:t xml:space="preserve">contract </w:t>
      </w:r>
      <w:r w:rsidRPr="001F04EF">
        <w:t xml:space="preserve">of </w:t>
      </w:r>
      <w:r w:rsidR="00684DFB" w:rsidRPr="00C84B4E">
        <w:rPr>
          <w:rFonts w:cs="Arial"/>
        </w:rPr>
        <w:t xml:space="preserve">£2,400,000 </w:t>
      </w:r>
      <w:r w:rsidRPr="001F04EF">
        <w:t xml:space="preserve">is </w:t>
      </w:r>
      <w:r>
        <w:t xml:space="preserve">under the </w:t>
      </w:r>
      <w:r w:rsidR="007955C6">
        <w:t xml:space="preserve">financial threshold  requiring the contract opportunity </w:t>
      </w:r>
      <w:r w:rsidR="00684DFB">
        <w:t xml:space="preserve">to </w:t>
      </w:r>
      <w:r w:rsidR="007955C6">
        <w:t>be advertised in</w:t>
      </w:r>
      <w:r>
        <w:t xml:space="preserve"> OJEU</w:t>
      </w:r>
      <w:r w:rsidR="00895439" w:rsidRPr="00895439">
        <w:t xml:space="preserve"> and therefore we do not need to set up a Framework Agreement</w:t>
      </w:r>
      <w:r w:rsidR="00895439">
        <w:t xml:space="preserve"> and there is no perceived commercial benefit in doing so</w:t>
      </w:r>
      <w:r>
        <w:t>.</w:t>
      </w:r>
    </w:p>
    <w:p w:rsidR="00214E62" w:rsidRDefault="00214E62" w:rsidP="00214E62"/>
    <w:p w:rsidR="00214E62" w:rsidRPr="002B4441" w:rsidRDefault="00214E62" w:rsidP="00616237">
      <w:pPr>
        <w:ind w:firstLine="720"/>
        <w:rPr>
          <w:b/>
        </w:rPr>
      </w:pPr>
      <w:r w:rsidRPr="002B4441">
        <w:rPr>
          <w:b/>
        </w:rPr>
        <w:t xml:space="preserve">c) Exploration of other frameworks </w:t>
      </w:r>
    </w:p>
    <w:p w:rsidR="00214E62" w:rsidRDefault="00895439" w:rsidP="00AF3B23">
      <w:pPr>
        <w:ind w:left="720"/>
      </w:pPr>
      <w:r>
        <w:t xml:space="preserve">We are unlikely to save any money from calling off from an established </w:t>
      </w:r>
      <w:r w:rsidR="008B7B90">
        <w:t>Framework</w:t>
      </w:r>
      <w:r>
        <w:t xml:space="preserve"> Agreement and there are unlikely to be existing Framework Agreements in place that cover all of the Council’s requirements.</w:t>
      </w:r>
    </w:p>
    <w:p w:rsidR="00214E62" w:rsidRDefault="00214E62" w:rsidP="00214E62"/>
    <w:p w:rsidR="00214E62" w:rsidRDefault="00895439" w:rsidP="00616237">
      <w:pPr>
        <w:ind w:left="720"/>
        <w:rPr>
          <w:b/>
        </w:rPr>
      </w:pPr>
      <w:r>
        <w:rPr>
          <w:b/>
        </w:rPr>
        <w:t>d</w:t>
      </w:r>
      <w:r w:rsidR="00214E62">
        <w:rPr>
          <w:b/>
        </w:rPr>
        <w:t xml:space="preserve">) </w:t>
      </w:r>
      <w:r w:rsidR="00A06788">
        <w:rPr>
          <w:b/>
        </w:rPr>
        <w:t>Negotiate an E</w:t>
      </w:r>
      <w:r w:rsidR="00214E62">
        <w:rPr>
          <w:b/>
        </w:rPr>
        <w:t>x</w:t>
      </w:r>
      <w:r w:rsidR="00A06788">
        <w:rPr>
          <w:b/>
        </w:rPr>
        <w:t xml:space="preserve">tension based on </w:t>
      </w:r>
      <w:r w:rsidR="00222651">
        <w:rPr>
          <w:b/>
        </w:rPr>
        <w:t xml:space="preserve">the </w:t>
      </w:r>
      <w:r w:rsidR="00214E62">
        <w:rPr>
          <w:b/>
        </w:rPr>
        <w:t>Current Homesafe-2 Contract.</w:t>
      </w:r>
    </w:p>
    <w:p w:rsidR="00214E62" w:rsidRPr="00A06788" w:rsidRDefault="00A06788" w:rsidP="00616237">
      <w:pPr>
        <w:ind w:left="720"/>
      </w:pPr>
      <w:r w:rsidRPr="00A06788">
        <w:t>This has been consid</w:t>
      </w:r>
      <w:r w:rsidR="00CF6E22">
        <w:t>ered</w:t>
      </w:r>
      <w:r w:rsidR="00E97D5B">
        <w:t>,</w:t>
      </w:r>
      <w:r w:rsidR="00CF6E22">
        <w:t xml:space="preserve"> but </w:t>
      </w:r>
      <w:r w:rsidRPr="00A06788">
        <w:t xml:space="preserve">discounted as the option to negotiate has not been </w:t>
      </w:r>
      <w:r w:rsidR="00895439">
        <w:t xml:space="preserve">included in the current Contract and </w:t>
      </w:r>
      <w:r w:rsidR="00E065F7">
        <w:t>w</w:t>
      </w:r>
      <w:r w:rsidR="00895439">
        <w:t>e are likely to get better commercial terms from an open tender process.</w:t>
      </w:r>
    </w:p>
    <w:p w:rsidR="00214E62" w:rsidRPr="00465DE8" w:rsidRDefault="00214E62" w:rsidP="00214E62">
      <w:pPr>
        <w:rPr>
          <w:b/>
        </w:rPr>
      </w:pPr>
    </w:p>
    <w:p w:rsidR="00214E62" w:rsidRPr="00465DE8" w:rsidRDefault="00213AE3" w:rsidP="00616237">
      <w:pPr>
        <w:ind w:firstLine="720"/>
        <w:rPr>
          <w:b/>
        </w:rPr>
      </w:pPr>
      <w:r>
        <w:rPr>
          <w:b/>
        </w:rPr>
        <w:t>f</w:t>
      </w:r>
      <w:r w:rsidR="00214E62">
        <w:rPr>
          <w:b/>
        </w:rPr>
        <w:t xml:space="preserve">) </w:t>
      </w:r>
      <w:r w:rsidR="00214E62" w:rsidRPr="00465DE8">
        <w:rPr>
          <w:b/>
        </w:rPr>
        <w:t>Do nothing</w:t>
      </w:r>
    </w:p>
    <w:p w:rsidR="00214E62" w:rsidRDefault="00214E62" w:rsidP="00616237">
      <w:pPr>
        <w:ind w:left="720"/>
      </w:pPr>
      <w:r>
        <w:t xml:space="preserve">This is not an option as failure to deliver the programme </w:t>
      </w:r>
      <w:r w:rsidR="002701A5">
        <w:t>could</w:t>
      </w:r>
      <w:r>
        <w:t xml:space="preserve"> </w:t>
      </w:r>
      <w:r w:rsidR="002701A5">
        <w:t>impact</w:t>
      </w:r>
      <w:r>
        <w:t xml:space="preserve"> Health and Safety </w:t>
      </w:r>
      <w:r w:rsidR="00684DFB">
        <w:t>compliance and</w:t>
      </w:r>
      <w:r>
        <w:t xml:space="preserve"> deterioration of block safety if upgrades are neglected by the Council.</w:t>
      </w:r>
    </w:p>
    <w:p w:rsidR="00214E62" w:rsidRPr="00A50990" w:rsidRDefault="00214E62" w:rsidP="00214E62"/>
    <w:p w:rsidR="00214E62" w:rsidRDefault="00AF3B23" w:rsidP="00AF3B23">
      <w:pPr>
        <w:ind w:left="720" w:hanging="720"/>
      </w:pPr>
      <w:r>
        <w:t>3.2</w:t>
      </w:r>
      <w:r>
        <w:tab/>
      </w:r>
      <w:r w:rsidR="002701A5">
        <w:t>F</w:t>
      </w:r>
      <w:r w:rsidR="00214E62">
        <w:t xml:space="preserve">rom the options considered above, Option A is preferred </w:t>
      </w:r>
      <w:r w:rsidR="00155A4C">
        <w:t>as the O</w:t>
      </w:r>
      <w:r w:rsidR="00214E62">
        <w:t xml:space="preserve">pen </w:t>
      </w:r>
      <w:r w:rsidR="00155A4C">
        <w:t xml:space="preserve">Market </w:t>
      </w:r>
      <w:r w:rsidR="00214E62">
        <w:t xml:space="preserve">tender will invite competitive prices, provide a quick route to market (especially as there is an urgent need to carry out the compliance works) and enable the recovery of </w:t>
      </w:r>
      <w:r w:rsidR="002D7CFB">
        <w:t>a proportion of costs from the L</w:t>
      </w:r>
      <w:r w:rsidR="00214E62">
        <w:t xml:space="preserve">easeholders under statutory Section 20 </w:t>
      </w:r>
      <w:r w:rsidR="00222651">
        <w:t>consultations. Option A</w:t>
      </w:r>
      <w:r w:rsidR="00214E62">
        <w:t xml:space="preserve"> is the recommended option.</w:t>
      </w:r>
    </w:p>
    <w:p w:rsidR="00780E0C" w:rsidRDefault="00780E0C" w:rsidP="00214E62"/>
    <w:p w:rsidR="00780E0C" w:rsidRDefault="00AF3B23" w:rsidP="00AF3B23">
      <w:pPr>
        <w:ind w:left="720" w:hanging="720"/>
      </w:pPr>
      <w:r>
        <w:t>3.3</w:t>
      </w:r>
      <w:r>
        <w:tab/>
      </w:r>
      <w:r w:rsidR="002701A5">
        <w:t>T</w:t>
      </w:r>
      <w:r w:rsidR="00780E0C">
        <w:t>he 2</w:t>
      </w:r>
      <w:r w:rsidR="00780E0C">
        <w:rPr>
          <w:vertAlign w:val="superscript"/>
        </w:rPr>
        <w:t>nd</w:t>
      </w:r>
      <w:r w:rsidR="00780E0C">
        <w:t xml:space="preserve"> phase of the Section 20 </w:t>
      </w:r>
      <w:r w:rsidR="002701A5">
        <w:t xml:space="preserve">consultation </w:t>
      </w:r>
      <w:r w:rsidR="00780E0C">
        <w:t>process will indicate what the appo</w:t>
      </w:r>
      <w:r w:rsidR="00616237">
        <w:t>rtioned costs will be for each L</w:t>
      </w:r>
      <w:r w:rsidR="00780E0C">
        <w:t>easeholder</w:t>
      </w:r>
      <w:r w:rsidR="00616237">
        <w:t>, and</w:t>
      </w:r>
      <w:r w:rsidR="00780E0C">
        <w:t xml:space="preserve"> </w:t>
      </w:r>
      <w:r w:rsidR="00616237">
        <w:t>Leaseholders</w:t>
      </w:r>
      <w:r w:rsidR="00780E0C">
        <w:t xml:space="preserve"> will have the option of a payment plan in order to spread costs to pay </w:t>
      </w:r>
      <w:r w:rsidR="00C46D32">
        <w:t xml:space="preserve">the service charges </w:t>
      </w:r>
      <w:r w:rsidR="00780E0C">
        <w:t xml:space="preserve">for the works. </w:t>
      </w:r>
    </w:p>
    <w:p w:rsidR="00616237" w:rsidRDefault="00616237" w:rsidP="00333FAA"/>
    <w:p w:rsidR="00333FAA" w:rsidRPr="007174EB" w:rsidRDefault="00884B6A" w:rsidP="009D3A45">
      <w:pPr>
        <w:pStyle w:val="Heading2"/>
        <w:numPr>
          <w:ilvl w:val="0"/>
          <w:numId w:val="48"/>
        </w:numPr>
        <w:ind w:left="0" w:firstLine="0"/>
        <w:rPr>
          <w:sz w:val="24"/>
        </w:rPr>
      </w:pPr>
      <w:r w:rsidRPr="007174EB">
        <w:rPr>
          <w:sz w:val="24"/>
        </w:rPr>
        <w:t>Background</w:t>
      </w:r>
    </w:p>
    <w:p w:rsidR="00973F10" w:rsidRDefault="00973F10" w:rsidP="00884B6A"/>
    <w:p w:rsidR="00973F10" w:rsidRDefault="00616237" w:rsidP="00616237">
      <w:pPr>
        <w:ind w:left="720" w:hanging="720"/>
      </w:pPr>
      <w:r>
        <w:t>4.1</w:t>
      </w:r>
      <w:r>
        <w:tab/>
      </w:r>
      <w:r w:rsidR="00973F10">
        <w:t xml:space="preserve">This </w:t>
      </w:r>
      <w:r w:rsidR="00973F10" w:rsidRPr="001566B4">
        <w:t xml:space="preserve">project </w:t>
      </w:r>
      <w:r w:rsidR="00973F10">
        <w:t>will be</w:t>
      </w:r>
      <w:r w:rsidR="00973F10" w:rsidRPr="001566B4">
        <w:t xml:space="preserve"> included </w:t>
      </w:r>
      <w:r w:rsidR="00973F10">
        <w:t>within the 20/21</w:t>
      </w:r>
      <w:r w:rsidR="00973F10" w:rsidRPr="001566B4">
        <w:t xml:space="preserve"> Housing Capital Programme.</w:t>
      </w:r>
      <w:r w:rsidR="00973F10">
        <w:t xml:space="preserve"> </w:t>
      </w:r>
      <w:r w:rsidR="00973F10" w:rsidRPr="001566B4">
        <w:t xml:space="preserve">The works are essential </w:t>
      </w:r>
      <w:r w:rsidR="00973F10">
        <w:t xml:space="preserve">to </w:t>
      </w:r>
      <w:r w:rsidR="00973F10" w:rsidRPr="001566B4">
        <w:t>improve fire safety and overall stock maintenance.</w:t>
      </w:r>
      <w:r w:rsidR="00973F10">
        <w:t xml:space="preserve"> This forms part of a multi-faceted approach to fire safety where several projects are running simultaneously in order to </w:t>
      </w:r>
      <w:r w:rsidR="002B7A26">
        <w:t>improve</w:t>
      </w:r>
      <w:r w:rsidR="00973F10">
        <w:t xml:space="preserve"> fire safety within our assets.</w:t>
      </w:r>
    </w:p>
    <w:p w:rsidR="00734441" w:rsidRDefault="00734441" w:rsidP="00884B6A"/>
    <w:p w:rsidR="00973F10" w:rsidRDefault="00616237" w:rsidP="00616237">
      <w:pPr>
        <w:ind w:left="720" w:hanging="720"/>
      </w:pPr>
      <w:r>
        <w:t>4.2</w:t>
      </w:r>
      <w:r>
        <w:tab/>
      </w:r>
      <w:r w:rsidR="00734441">
        <w:t>Following the Grenfell incident of 2017, the Council’s focus and approach has changed and there is an increased emphasis on prioritising health and safety related works to ensure the safety of our residents.</w:t>
      </w:r>
    </w:p>
    <w:p w:rsidR="00973F10" w:rsidRDefault="00973F10" w:rsidP="00884B6A"/>
    <w:p w:rsidR="00E97D5B" w:rsidRDefault="00616237" w:rsidP="00616237">
      <w:pPr>
        <w:ind w:left="720" w:hanging="720"/>
      </w:pPr>
      <w:r>
        <w:t>4.3</w:t>
      </w:r>
      <w:r>
        <w:tab/>
      </w:r>
      <w:r w:rsidR="00973F10">
        <w:t>This p</w:t>
      </w:r>
      <w:r w:rsidR="005D7B09">
        <w:t xml:space="preserve">rogramme is the next </w:t>
      </w:r>
      <w:r w:rsidR="00973F10">
        <w:t>phase</w:t>
      </w:r>
      <w:r w:rsidR="00B617E9">
        <w:t xml:space="preserve"> of Fire and S</w:t>
      </w:r>
      <w:r w:rsidR="005D7B09">
        <w:t xml:space="preserve">afety works following on </w:t>
      </w:r>
      <w:r w:rsidR="00B617E9">
        <w:t xml:space="preserve">from </w:t>
      </w:r>
      <w:r w:rsidR="005D7B09">
        <w:t xml:space="preserve">the </w:t>
      </w:r>
      <w:r w:rsidR="00B617E9">
        <w:t xml:space="preserve">current Security and Compliance </w:t>
      </w:r>
      <w:r w:rsidR="00973F10">
        <w:t>“</w:t>
      </w:r>
      <w:proofErr w:type="spellStart"/>
      <w:r w:rsidR="00B617E9">
        <w:t>Homesafe</w:t>
      </w:r>
      <w:proofErr w:type="spellEnd"/>
      <w:r w:rsidR="00CF36AA">
        <w:t xml:space="preserve"> 2</w:t>
      </w:r>
      <w:r w:rsidR="00973F10">
        <w:t>” p</w:t>
      </w:r>
      <w:r w:rsidR="005D7B09">
        <w:t xml:space="preserve">rogramme which is </w:t>
      </w:r>
      <w:r w:rsidR="00B617E9">
        <w:t xml:space="preserve">a </w:t>
      </w:r>
      <w:r w:rsidR="005D7B09">
        <w:t>12 month programme du</w:t>
      </w:r>
      <w:r w:rsidR="00973F10">
        <w:t xml:space="preserve">e for completion October 2020. </w:t>
      </w:r>
      <w:r w:rsidR="00884B6A">
        <w:t xml:space="preserve"> </w:t>
      </w:r>
      <w:r w:rsidR="00884B6A" w:rsidRPr="001566B4">
        <w:t>The</w:t>
      </w:r>
      <w:r w:rsidR="00B617E9">
        <w:t>se</w:t>
      </w:r>
      <w:r w:rsidR="00884B6A" w:rsidRPr="001566B4">
        <w:t xml:space="preserve"> works are essential </w:t>
      </w:r>
      <w:r w:rsidR="00884B6A">
        <w:t xml:space="preserve">to </w:t>
      </w:r>
      <w:r w:rsidR="00884B6A" w:rsidRPr="001566B4">
        <w:t>increase block security, improve fire safety and overall stock maintenance.</w:t>
      </w:r>
      <w:r w:rsidR="00884B6A">
        <w:t xml:space="preserve"> </w:t>
      </w:r>
    </w:p>
    <w:p w:rsidR="00734441" w:rsidRDefault="00734441" w:rsidP="00884B6A"/>
    <w:p w:rsidR="009114EF" w:rsidRDefault="00616237" w:rsidP="00616237">
      <w:pPr>
        <w:ind w:left="720" w:hanging="720"/>
      </w:pPr>
      <w:r>
        <w:t>4.4</w:t>
      </w:r>
      <w:r>
        <w:tab/>
      </w:r>
      <w:r w:rsidR="00884B6A" w:rsidRPr="001566B4">
        <w:t xml:space="preserve">The aim of the project is to deliver replacement doors/screens to main entrance or gated entry as appropriate and </w:t>
      </w:r>
      <w:r w:rsidR="00B617E9">
        <w:t xml:space="preserve">communal access/exit doors, </w:t>
      </w:r>
      <w:r w:rsidR="00884B6A" w:rsidRPr="001566B4">
        <w:t xml:space="preserve">upgraded door entry systems to include </w:t>
      </w:r>
      <w:r w:rsidR="00973F10">
        <w:t>k</w:t>
      </w:r>
      <w:r w:rsidR="00B617E9">
        <w:t>ey</w:t>
      </w:r>
      <w:r w:rsidR="00973F10">
        <w:t xml:space="preserve"> </w:t>
      </w:r>
      <w:r w:rsidR="00B617E9">
        <w:t>fob entry intercom</w:t>
      </w:r>
      <w:r w:rsidR="00884B6A" w:rsidRPr="001566B4">
        <w:t xml:space="preserve"> panels and coloured monitor video handsets to various blocks</w:t>
      </w:r>
      <w:r w:rsidR="009114EF">
        <w:t>.</w:t>
      </w:r>
      <w:r w:rsidR="00884B6A" w:rsidRPr="001566B4">
        <w:t xml:space="preserve"> </w:t>
      </w:r>
      <w:r w:rsidR="009114EF">
        <w:t>A key</w:t>
      </w:r>
      <w:r w:rsidR="009211D3">
        <w:t xml:space="preserve"> facet of this scheme is installation of</w:t>
      </w:r>
      <w:r w:rsidR="00884B6A">
        <w:t xml:space="preserve"> </w:t>
      </w:r>
      <w:r w:rsidR="00884B6A" w:rsidRPr="001566B4">
        <w:t xml:space="preserve">individual </w:t>
      </w:r>
      <w:r w:rsidR="00884B6A">
        <w:t xml:space="preserve">flat </w:t>
      </w:r>
      <w:r w:rsidR="00B617E9">
        <w:t>front</w:t>
      </w:r>
      <w:r w:rsidR="00884B6A" w:rsidRPr="001566B4">
        <w:t xml:space="preserve"> fire rated doors</w:t>
      </w:r>
      <w:r w:rsidR="009114EF">
        <w:t xml:space="preserve"> (FD30s)</w:t>
      </w:r>
      <w:r w:rsidR="00884B6A" w:rsidRPr="001566B4">
        <w:t xml:space="preserve"> </w:t>
      </w:r>
      <w:r w:rsidR="00236C49" w:rsidRPr="00146BA7">
        <w:t>to 3</w:t>
      </w:r>
      <w:r w:rsidR="00146BA7" w:rsidRPr="00146BA7">
        <w:t>1</w:t>
      </w:r>
      <w:r w:rsidR="00236C49" w:rsidRPr="00146BA7">
        <w:t xml:space="preserve"> blocks </w:t>
      </w:r>
      <w:r w:rsidR="00B617E9" w:rsidRPr="00146BA7">
        <w:t xml:space="preserve">/ </w:t>
      </w:r>
      <w:r w:rsidR="00146BA7" w:rsidRPr="00146BA7">
        <w:t xml:space="preserve">411 </w:t>
      </w:r>
      <w:r w:rsidR="00B617E9">
        <w:t xml:space="preserve">flats </w:t>
      </w:r>
      <w:r w:rsidR="00884B6A" w:rsidRPr="001566B4">
        <w:t xml:space="preserve">across the London Borough of Harrow. </w:t>
      </w:r>
    </w:p>
    <w:p w:rsidR="009114EF" w:rsidRDefault="009114EF" w:rsidP="00884B6A"/>
    <w:p w:rsidR="009114EF" w:rsidRDefault="00616237" w:rsidP="00616237">
      <w:pPr>
        <w:ind w:left="720" w:hanging="720"/>
      </w:pPr>
      <w:r>
        <w:t>4.5</w:t>
      </w:r>
      <w:r>
        <w:tab/>
      </w:r>
      <w:r w:rsidR="009114EF">
        <w:t xml:space="preserve">This scheme will also run in conjunction with the 3 Storey Fire Door (FD30s) replacement </w:t>
      </w:r>
      <w:r w:rsidR="009211D3">
        <w:t>scheme which</w:t>
      </w:r>
      <w:r>
        <w:t xml:space="preserve"> recently gained C</w:t>
      </w:r>
      <w:r w:rsidR="009114EF">
        <w:t xml:space="preserve">abinet approval </w:t>
      </w:r>
      <w:r w:rsidR="009211D3">
        <w:t xml:space="preserve">in January 2020 </w:t>
      </w:r>
      <w:r w:rsidR="009114EF">
        <w:t>and is due out to tender at the beginning of the new financial ye</w:t>
      </w:r>
      <w:r>
        <w:t>ar. The end result is that the C</w:t>
      </w:r>
      <w:r w:rsidR="009114EF">
        <w:t>ouncil will be in a position where all</w:t>
      </w:r>
      <w:r>
        <w:t xml:space="preserve"> 3 storey block front e</w:t>
      </w:r>
      <w:r w:rsidR="009211D3">
        <w:t xml:space="preserve">ntrance doors will be changed to </w:t>
      </w:r>
      <w:r w:rsidR="002B7A26">
        <w:t>upgraded compliant</w:t>
      </w:r>
      <w:r w:rsidR="009211D3">
        <w:t xml:space="preserve"> FD30s doors.</w:t>
      </w:r>
    </w:p>
    <w:p w:rsidR="00884B6A" w:rsidRDefault="00884B6A" w:rsidP="00884B6A">
      <w:pPr>
        <w:ind w:left="720" w:hanging="720"/>
        <w:jc w:val="both"/>
      </w:pPr>
    </w:p>
    <w:p w:rsidR="00884B6A" w:rsidRPr="001566B4" w:rsidRDefault="00616237" w:rsidP="00616237">
      <w:pPr>
        <w:ind w:left="720" w:hanging="720"/>
      </w:pPr>
      <w:r>
        <w:t>4.6</w:t>
      </w:r>
      <w:r>
        <w:tab/>
      </w:r>
      <w:r w:rsidR="009211D3">
        <w:t>Overall t</w:t>
      </w:r>
      <w:r w:rsidR="00884B6A" w:rsidRPr="001566B4">
        <w:t>he result</w:t>
      </w:r>
      <w:r w:rsidR="009211D3">
        <w:t xml:space="preserve"> of </w:t>
      </w:r>
      <w:proofErr w:type="spellStart"/>
      <w:r w:rsidR="009211D3">
        <w:t>Homesafe</w:t>
      </w:r>
      <w:proofErr w:type="spellEnd"/>
      <w:r w:rsidR="009211D3">
        <w:t xml:space="preserve"> 3</w:t>
      </w:r>
      <w:r w:rsidR="00884B6A" w:rsidRPr="001566B4">
        <w:t xml:space="preserve"> </w:t>
      </w:r>
      <w:r w:rsidR="00884B6A">
        <w:t>will be</w:t>
      </w:r>
      <w:r w:rsidR="00884B6A" w:rsidRPr="001566B4">
        <w:t xml:space="preserve"> improved security </w:t>
      </w:r>
      <w:r w:rsidR="00E97D5B">
        <w:t>and safety</w:t>
      </w:r>
      <w:r w:rsidR="00F341D7">
        <w:t xml:space="preserve"> </w:t>
      </w:r>
      <w:r w:rsidR="00884B6A" w:rsidRPr="001566B4">
        <w:t>through 24-hour block access control wit</w:t>
      </w:r>
      <w:r w:rsidR="009211D3">
        <w:t>h camera visitor entry display and i</w:t>
      </w:r>
      <w:r w:rsidR="00884B6A" w:rsidRPr="001566B4">
        <w:t>mproved entr</w:t>
      </w:r>
      <w:r w:rsidR="00DB2644">
        <w:t>ance screen</w:t>
      </w:r>
      <w:r>
        <w:t>s</w:t>
      </w:r>
      <w:r w:rsidR="00DB2644">
        <w:t xml:space="preserve"> and level access </w:t>
      </w:r>
      <w:r w:rsidR="00884B6A" w:rsidRPr="001566B4">
        <w:t xml:space="preserve">approach for </w:t>
      </w:r>
      <w:r w:rsidR="00DB2644">
        <w:t xml:space="preserve">residents and visitors with </w:t>
      </w:r>
      <w:r w:rsidR="00E97D5B">
        <w:t xml:space="preserve">disabilities, </w:t>
      </w:r>
      <w:r w:rsidR="00DB2644">
        <w:t xml:space="preserve">meeting </w:t>
      </w:r>
      <w:r w:rsidR="002B7A26">
        <w:t xml:space="preserve">Equality Act </w:t>
      </w:r>
      <w:r w:rsidR="009F38A9">
        <w:t>requirements to</w:t>
      </w:r>
      <w:r w:rsidR="00DB2644">
        <w:t xml:space="preserve"> achieve </w:t>
      </w:r>
      <w:r w:rsidR="00884B6A" w:rsidRPr="001566B4">
        <w:t xml:space="preserve">better access for all.  The contract will also include the installation of </w:t>
      </w:r>
      <w:r w:rsidR="00DB2644">
        <w:t xml:space="preserve">landlords </w:t>
      </w:r>
      <w:r w:rsidR="00884B6A" w:rsidRPr="001566B4">
        <w:t>e</w:t>
      </w:r>
      <w:r w:rsidR="00DB2644">
        <w:t>mergency lighting, re-wiring together with</w:t>
      </w:r>
      <w:r w:rsidR="00884B6A" w:rsidRPr="001566B4">
        <w:t xml:space="preserve"> service duct compartmentalisation where required and other</w:t>
      </w:r>
      <w:r w:rsidR="00884B6A">
        <w:t xml:space="preserve"> associated</w:t>
      </w:r>
      <w:r w:rsidR="00DB2644">
        <w:t xml:space="preserve"> works.</w:t>
      </w:r>
    </w:p>
    <w:p w:rsidR="00884B6A" w:rsidRDefault="00884B6A" w:rsidP="00884B6A">
      <w:pPr>
        <w:ind w:left="720" w:hanging="720"/>
        <w:jc w:val="both"/>
        <w:rPr>
          <w:rFonts w:cs="Arial"/>
        </w:rPr>
      </w:pPr>
    </w:p>
    <w:p w:rsidR="00333FAA" w:rsidRPr="00E72F3E" w:rsidRDefault="00E72F3E" w:rsidP="00E72F3E">
      <w:pPr>
        <w:pStyle w:val="Heading2"/>
      </w:pPr>
      <w:r>
        <w:t>5.</w:t>
      </w:r>
      <w:r w:rsidR="00425D70">
        <w:tab/>
      </w:r>
      <w:r w:rsidR="00333FAA" w:rsidRPr="00616237">
        <w:rPr>
          <w:sz w:val="24"/>
        </w:rPr>
        <w:t>Cur</w:t>
      </w:r>
      <w:r w:rsidR="00DB2644" w:rsidRPr="00616237">
        <w:rPr>
          <w:sz w:val="24"/>
        </w:rPr>
        <w:t>rent S</w:t>
      </w:r>
      <w:r w:rsidR="00333FAA" w:rsidRPr="00616237">
        <w:rPr>
          <w:sz w:val="24"/>
        </w:rPr>
        <w:t>ituation</w:t>
      </w:r>
      <w:r w:rsidR="003E151D" w:rsidRPr="00616237">
        <w:rPr>
          <w:sz w:val="24"/>
        </w:rPr>
        <w:t>/ Programme</w:t>
      </w:r>
    </w:p>
    <w:p w:rsidR="00616237" w:rsidRDefault="00616237" w:rsidP="00425D70">
      <w:pPr>
        <w:ind w:left="720"/>
      </w:pPr>
    </w:p>
    <w:p w:rsidR="00616237" w:rsidRDefault="00616237" w:rsidP="00616237">
      <w:pPr>
        <w:ind w:left="709" w:hanging="709"/>
        <w:rPr>
          <w:color w:val="000000"/>
        </w:rPr>
      </w:pPr>
      <w:r>
        <w:t>5.1</w:t>
      </w:r>
      <w:r>
        <w:tab/>
      </w:r>
      <w:r w:rsidR="00164B0B" w:rsidRPr="00E72F3E">
        <w:t>This report is a revised version of that appr</w:t>
      </w:r>
      <w:r w:rsidR="00164B0B" w:rsidRPr="008A75AC">
        <w:rPr>
          <w:color w:val="000000"/>
        </w:rPr>
        <w:t xml:space="preserve">oved </w:t>
      </w:r>
      <w:r w:rsidR="00164B0B">
        <w:rPr>
          <w:color w:val="000000"/>
        </w:rPr>
        <w:t xml:space="preserve">by </w:t>
      </w:r>
      <w:r w:rsidR="00164B0B" w:rsidRPr="0042676F">
        <w:t>Cabinet 15</w:t>
      </w:r>
      <w:r w:rsidR="00164B0B" w:rsidRPr="0042676F">
        <w:rPr>
          <w:vertAlign w:val="superscript"/>
        </w:rPr>
        <w:t>th</w:t>
      </w:r>
      <w:r w:rsidR="00164B0B" w:rsidRPr="0042676F">
        <w:t xml:space="preserve"> </w:t>
      </w:r>
      <w:r w:rsidR="00164B0B">
        <w:rPr>
          <w:color w:val="000000"/>
        </w:rPr>
        <w:t xml:space="preserve">November 2018 </w:t>
      </w:r>
      <w:r w:rsidR="00164B0B" w:rsidRPr="008A75AC">
        <w:rPr>
          <w:color w:val="000000"/>
        </w:rPr>
        <w:t xml:space="preserve">for </w:t>
      </w:r>
      <w:r w:rsidR="003E151D">
        <w:rPr>
          <w:color w:val="000000"/>
        </w:rPr>
        <w:t xml:space="preserve">the </w:t>
      </w:r>
      <w:r w:rsidR="00164B0B" w:rsidRPr="008A75AC">
        <w:rPr>
          <w:color w:val="000000"/>
        </w:rPr>
        <w:t>procurement</w:t>
      </w:r>
      <w:r w:rsidR="00164B0B">
        <w:rPr>
          <w:color w:val="000000"/>
        </w:rPr>
        <w:t xml:space="preserve"> of the previous Security and </w:t>
      </w:r>
      <w:r w:rsidR="00251CE3">
        <w:rPr>
          <w:color w:val="000000"/>
        </w:rPr>
        <w:t>Health &amp; S</w:t>
      </w:r>
      <w:r w:rsidR="00164B0B">
        <w:rPr>
          <w:color w:val="000000"/>
        </w:rPr>
        <w:t>afety works and</w:t>
      </w:r>
      <w:r w:rsidR="00251CE3">
        <w:rPr>
          <w:color w:val="000000"/>
        </w:rPr>
        <w:t xml:space="preserve"> C</w:t>
      </w:r>
      <w:r w:rsidR="00164B0B">
        <w:rPr>
          <w:color w:val="000000"/>
        </w:rPr>
        <w:t>ompliance 2018/19-2020/21 (Homesafe</w:t>
      </w:r>
      <w:r w:rsidR="00E97D5B">
        <w:rPr>
          <w:color w:val="000000"/>
        </w:rPr>
        <w:t>-2</w:t>
      </w:r>
      <w:r w:rsidR="00164B0B">
        <w:rPr>
          <w:color w:val="000000"/>
        </w:rPr>
        <w:t xml:space="preserve">) 2-year programme which is </w:t>
      </w:r>
      <w:r w:rsidR="00CF6E22">
        <w:rPr>
          <w:color w:val="000000"/>
        </w:rPr>
        <w:t>currently on site</w:t>
      </w:r>
      <w:r w:rsidR="00251CE3">
        <w:rPr>
          <w:color w:val="000000"/>
        </w:rPr>
        <w:t xml:space="preserve"> </w:t>
      </w:r>
      <w:r w:rsidR="005D7B09" w:rsidRPr="00146BA7">
        <w:t>covering</w:t>
      </w:r>
      <w:r w:rsidR="00F41538" w:rsidRPr="00146BA7">
        <w:t xml:space="preserve"> 349 flats in</w:t>
      </w:r>
      <w:r w:rsidR="005D7B09" w:rsidRPr="00146BA7">
        <w:t xml:space="preserve"> 47</w:t>
      </w:r>
      <w:r w:rsidR="00236C49" w:rsidRPr="00146BA7">
        <w:t xml:space="preserve"> blocks</w:t>
      </w:r>
      <w:r w:rsidR="00251CE3" w:rsidRPr="00146BA7">
        <w:t xml:space="preserve">, </w:t>
      </w:r>
      <w:r w:rsidR="00E97D5B">
        <w:rPr>
          <w:color w:val="000000"/>
        </w:rPr>
        <w:t xml:space="preserve">and </w:t>
      </w:r>
      <w:r w:rsidR="00251CE3">
        <w:rPr>
          <w:color w:val="000000"/>
        </w:rPr>
        <w:t xml:space="preserve">this </w:t>
      </w:r>
      <w:r w:rsidR="00E97D5B">
        <w:rPr>
          <w:color w:val="000000"/>
        </w:rPr>
        <w:t xml:space="preserve">work </w:t>
      </w:r>
      <w:r w:rsidR="00236C49">
        <w:rPr>
          <w:color w:val="000000"/>
        </w:rPr>
        <w:t xml:space="preserve">is </w:t>
      </w:r>
      <w:r w:rsidR="00164B0B">
        <w:rPr>
          <w:color w:val="000000"/>
        </w:rPr>
        <w:t xml:space="preserve">expected to be completed </w:t>
      </w:r>
      <w:r w:rsidR="00CF6E22">
        <w:rPr>
          <w:color w:val="000000"/>
        </w:rPr>
        <w:t xml:space="preserve">in </w:t>
      </w:r>
      <w:r w:rsidR="00164B0B">
        <w:rPr>
          <w:color w:val="000000"/>
        </w:rPr>
        <w:t>October 2020.</w:t>
      </w:r>
      <w:r w:rsidR="007D106B">
        <w:rPr>
          <w:color w:val="000000"/>
        </w:rPr>
        <w:t xml:space="preserve"> </w:t>
      </w:r>
    </w:p>
    <w:p w:rsidR="00164B0B" w:rsidRDefault="00616237" w:rsidP="00616237">
      <w:pPr>
        <w:ind w:left="709" w:hanging="709"/>
        <w:rPr>
          <w:color w:val="000000"/>
        </w:rPr>
      </w:pPr>
      <w:r>
        <w:rPr>
          <w:color w:val="000000"/>
        </w:rPr>
        <w:t>5.2</w:t>
      </w:r>
      <w:r>
        <w:rPr>
          <w:color w:val="000000"/>
        </w:rPr>
        <w:tab/>
      </w:r>
      <w:r w:rsidR="007D106B">
        <w:rPr>
          <w:color w:val="000000"/>
        </w:rPr>
        <w:t>This further prog</w:t>
      </w:r>
      <w:r w:rsidR="00CF6E22">
        <w:rPr>
          <w:color w:val="000000"/>
        </w:rPr>
        <w:t xml:space="preserve">ramme of Health and Safety works </w:t>
      </w:r>
      <w:r w:rsidR="00E97D5B">
        <w:rPr>
          <w:color w:val="000000"/>
        </w:rPr>
        <w:t xml:space="preserve">aims to </w:t>
      </w:r>
      <w:r>
        <w:rPr>
          <w:color w:val="000000"/>
        </w:rPr>
        <w:t>include 411</w:t>
      </w:r>
      <w:r w:rsidR="00146BA7" w:rsidRPr="00146BA7">
        <w:t xml:space="preserve"> </w:t>
      </w:r>
      <w:r w:rsidR="00F41538" w:rsidRPr="00146BA7">
        <w:t xml:space="preserve">flats in </w:t>
      </w:r>
      <w:r w:rsidR="003E151D" w:rsidRPr="00146BA7">
        <w:t>3</w:t>
      </w:r>
      <w:r w:rsidR="00146BA7" w:rsidRPr="00146BA7">
        <w:t>1</w:t>
      </w:r>
      <w:r w:rsidR="003E151D" w:rsidRPr="00146BA7">
        <w:t xml:space="preserve"> blocks </w:t>
      </w:r>
      <w:r w:rsidR="005D7B09" w:rsidRPr="00146BA7">
        <w:t xml:space="preserve">and </w:t>
      </w:r>
      <w:r w:rsidR="003E151D" w:rsidRPr="00146BA7">
        <w:t xml:space="preserve">is </w:t>
      </w:r>
      <w:r w:rsidR="003E151D">
        <w:rPr>
          <w:color w:val="000000"/>
        </w:rPr>
        <w:t>expect</w:t>
      </w:r>
      <w:r w:rsidR="00CF6E22">
        <w:rPr>
          <w:color w:val="000000"/>
        </w:rPr>
        <w:t xml:space="preserve">ed to start at a time </w:t>
      </w:r>
      <w:r w:rsidR="00F41538">
        <w:rPr>
          <w:color w:val="000000"/>
        </w:rPr>
        <w:t xml:space="preserve">soon after </w:t>
      </w:r>
      <w:r w:rsidR="00CF6E22">
        <w:rPr>
          <w:color w:val="000000"/>
        </w:rPr>
        <w:t xml:space="preserve">the </w:t>
      </w:r>
      <w:r w:rsidR="003E151D">
        <w:rPr>
          <w:color w:val="000000"/>
        </w:rPr>
        <w:t>completion of the current Security and Compliance (Homesafe-2) programme.</w:t>
      </w:r>
    </w:p>
    <w:p w:rsidR="009A157C" w:rsidRDefault="009A157C" w:rsidP="009A157C">
      <w:pPr>
        <w:rPr>
          <w:color w:val="000000"/>
        </w:rPr>
      </w:pPr>
    </w:p>
    <w:p w:rsidR="00BB1785" w:rsidRDefault="00BB1785" w:rsidP="00164B0B">
      <w:pPr>
        <w:rPr>
          <w:color w:val="000000"/>
        </w:rPr>
      </w:pPr>
    </w:p>
    <w:p w:rsidR="00BB1785" w:rsidRDefault="00E72F3E" w:rsidP="00BB1785">
      <w:pPr>
        <w:pStyle w:val="Heading2"/>
        <w:rPr>
          <w:rFonts w:cs="Times New Roman"/>
          <w:bCs w:val="0"/>
          <w:sz w:val="24"/>
          <w:szCs w:val="20"/>
        </w:rPr>
      </w:pPr>
      <w:r>
        <w:rPr>
          <w:rFonts w:cs="Times New Roman"/>
          <w:bCs w:val="0"/>
          <w:sz w:val="24"/>
          <w:szCs w:val="20"/>
        </w:rPr>
        <w:t>6.</w:t>
      </w:r>
      <w:r w:rsidR="00425D70">
        <w:rPr>
          <w:rFonts w:cs="Times New Roman"/>
          <w:bCs w:val="0"/>
          <w:sz w:val="24"/>
          <w:szCs w:val="20"/>
        </w:rPr>
        <w:tab/>
      </w:r>
      <w:r w:rsidR="00BB1785">
        <w:rPr>
          <w:rFonts w:cs="Times New Roman"/>
          <w:bCs w:val="0"/>
          <w:sz w:val="24"/>
          <w:szCs w:val="20"/>
        </w:rPr>
        <w:t>Implications of the Recommendation</w:t>
      </w:r>
    </w:p>
    <w:p w:rsidR="00BB1785" w:rsidRDefault="00BB1785" w:rsidP="00BB1785"/>
    <w:p w:rsidR="00BB1785" w:rsidRDefault="00616237" w:rsidP="00616237">
      <w:pPr>
        <w:ind w:left="709" w:hanging="709"/>
      </w:pPr>
      <w:r>
        <w:t>6.1</w:t>
      </w:r>
      <w:r>
        <w:tab/>
      </w:r>
      <w:r w:rsidR="002B7A26">
        <w:t xml:space="preserve">Approval </w:t>
      </w:r>
      <w:r w:rsidR="009F38A9">
        <w:t>of the</w:t>
      </w:r>
      <w:r w:rsidR="00BB1785">
        <w:t xml:space="preserve"> recommendation</w:t>
      </w:r>
      <w:r w:rsidR="002B7A26">
        <w:t>s</w:t>
      </w:r>
      <w:r w:rsidR="00BB1785">
        <w:t xml:space="preserve"> </w:t>
      </w:r>
      <w:r w:rsidR="002B7A26">
        <w:t xml:space="preserve">will result </w:t>
      </w:r>
      <w:r w:rsidR="009F38A9">
        <w:t>in the</w:t>
      </w:r>
      <w:r w:rsidR="00BB1785">
        <w:t xml:space="preserve"> </w:t>
      </w:r>
      <w:r w:rsidR="002B7A26">
        <w:t xml:space="preserve">completion of the </w:t>
      </w:r>
      <w:r w:rsidR="00BB1785">
        <w:t>required work to</w:t>
      </w:r>
      <w:r w:rsidR="00425D70">
        <w:t xml:space="preserve"> </w:t>
      </w:r>
      <w:r w:rsidR="00BB1785">
        <w:t xml:space="preserve">complete </w:t>
      </w:r>
      <w:r w:rsidR="00262DEE">
        <w:t>the next tranche of required fire safety</w:t>
      </w:r>
      <w:r w:rsidR="009A157C">
        <w:t xml:space="preserve"> and</w:t>
      </w:r>
      <w:r w:rsidR="00262DEE">
        <w:t xml:space="preserve"> compliance works</w:t>
      </w:r>
      <w:r w:rsidR="00E97D5B">
        <w:t>, in</w:t>
      </w:r>
      <w:r w:rsidR="00425D70">
        <w:t xml:space="preserve"> </w:t>
      </w:r>
      <w:r w:rsidR="00E97D5B">
        <w:t>order</w:t>
      </w:r>
      <w:r w:rsidR="00262DEE">
        <w:t xml:space="preserve"> to meet </w:t>
      </w:r>
      <w:r w:rsidR="00E97D5B">
        <w:t xml:space="preserve">our </w:t>
      </w:r>
      <w:r w:rsidR="00F341D7">
        <w:t xml:space="preserve">landlord and </w:t>
      </w:r>
      <w:r w:rsidR="00E97D5B">
        <w:t xml:space="preserve">statutory </w:t>
      </w:r>
      <w:r w:rsidR="00262DEE">
        <w:t>responsibilities.</w:t>
      </w:r>
    </w:p>
    <w:p w:rsidR="00684DFB" w:rsidRDefault="00684DFB" w:rsidP="00616237">
      <w:pPr>
        <w:ind w:left="709" w:hanging="709"/>
      </w:pPr>
    </w:p>
    <w:p w:rsidR="00BB1785" w:rsidRDefault="00BB1785" w:rsidP="00BB1785">
      <w:pPr>
        <w:pStyle w:val="Heading4"/>
        <w:rPr>
          <w:rFonts w:cs="Times New Roman"/>
        </w:rPr>
      </w:pPr>
      <w:r>
        <w:rPr>
          <w:rFonts w:cs="Times New Roman"/>
        </w:rPr>
        <w:t xml:space="preserve">7.0 </w:t>
      </w:r>
      <w:r w:rsidR="00425D70">
        <w:rPr>
          <w:rFonts w:cs="Times New Roman"/>
        </w:rPr>
        <w:tab/>
      </w:r>
      <w:r>
        <w:rPr>
          <w:rFonts w:cs="Times New Roman"/>
        </w:rPr>
        <w:t xml:space="preserve">Resources, costs </w:t>
      </w:r>
    </w:p>
    <w:p w:rsidR="00BB1785" w:rsidRDefault="00BB1785" w:rsidP="00BB1785"/>
    <w:p w:rsidR="00BB1785" w:rsidRPr="00024A4C" w:rsidRDefault="00024A4C" w:rsidP="00BB1785">
      <w:pPr>
        <w:ind w:left="720" w:hanging="720"/>
        <w:rPr>
          <w:color w:val="FF0000"/>
        </w:rPr>
      </w:pPr>
      <w:r>
        <w:t xml:space="preserve">7.1 </w:t>
      </w:r>
      <w:r>
        <w:tab/>
        <w:t>The contract will be procured via</w:t>
      </w:r>
      <w:r w:rsidR="00616237">
        <w:t xml:space="preserve"> an O</w:t>
      </w:r>
      <w:r w:rsidR="00BB1785">
        <w:t xml:space="preserve">pen </w:t>
      </w:r>
      <w:r w:rsidR="00616237">
        <w:t>M</w:t>
      </w:r>
      <w:r>
        <w:t xml:space="preserve">arket </w:t>
      </w:r>
      <w:r w:rsidR="00BB1785">
        <w:t xml:space="preserve">tender and </w:t>
      </w:r>
      <w:r w:rsidR="00262DEE">
        <w:t>will be published on the London Tender’s Portal</w:t>
      </w:r>
      <w:r w:rsidR="00BB1785">
        <w:t xml:space="preserve">. The expected external resources required for this project will be CDM Consultants, Principal Contractor and sub-contractors. The costs associated with the project will be determined by the </w:t>
      </w:r>
      <w:r w:rsidR="00262DEE">
        <w:t>highest scoring contractor</w:t>
      </w:r>
      <w:r w:rsidR="00BB1785">
        <w:t>. This wil</w:t>
      </w:r>
      <w:r>
        <w:t xml:space="preserve">l be based on </w:t>
      </w:r>
      <w:r w:rsidR="00262DEE">
        <w:t xml:space="preserve">monetary, </w:t>
      </w:r>
      <w:r w:rsidR="00BB1785">
        <w:t>quality and social value</w:t>
      </w:r>
      <w:r w:rsidR="00D6323E">
        <w:t>.</w:t>
      </w:r>
      <w:r>
        <w:t xml:space="preserve"> </w:t>
      </w:r>
    </w:p>
    <w:p w:rsidR="00BB1785" w:rsidRDefault="00BB1785" w:rsidP="00BB1785"/>
    <w:p w:rsidR="00BB1785" w:rsidRDefault="00BB1785" w:rsidP="00BB1785">
      <w:pPr>
        <w:pStyle w:val="Heading4"/>
        <w:rPr>
          <w:rFonts w:cs="Times New Roman"/>
        </w:rPr>
      </w:pPr>
      <w:r>
        <w:rPr>
          <w:rFonts w:cs="Times New Roman"/>
        </w:rPr>
        <w:lastRenderedPageBreak/>
        <w:t xml:space="preserve">8.0 </w:t>
      </w:r>
      <w:r>
        <w:rPr>
          <w:rFonts w:cs="Times New Roman"/>
        </w:rPr>
        <w:tab/>
        <w:t xml:space="preserve">Staffing/workforce </w:t>
      </w:r>
    </w:p>
    <w:p w:rsidR="00BB1785" w:rsidRDefault="00BB1785" w:rsidP="00BB1785"/>
    <w:p w:rsidR="00262DEE" w:rsidRDefault="00BB1785" w:rsidP="00BB1785">
      <w:pPr>
        <w:ind w:left="720" w:hanging="720"/>
      </w:pPr>
      <w:r>
        <w:t xml:space="preserve">8.1 </w:t>
      </w:r>
      <w:r>
        <w:tab/>
      </w:r>
      <w:r w:rsidR="00262DEE">
        <w:t xml:space="preserve">Pre-contract: </w:t>
      </w:r>
      <w:r>
        <w:t xml:space="preserve">The in-house </w:t>
      </w:r>
      <w:r w:rsidR="00262DEE">
        <w:t>Project Manager will manage</w:t>
      </w:r>
      <w:r>
        <w:t xml:space="preserve"> all the stages </w:t>
      </w:r>
      <w:r w:rsidR="00D77DD0">
        <w:t>within</w:t>
      </w:r>
      <w:r w:rsidR="00262DEE">
        <w:t xml:space="preserve"> the procurement </w:t>
      </w:r>
      <w:r>
        <w:t>cycle</w:t>
      </w:r>
      <w:r w:rsidR="00616237">
        <w:t xml:space="preserve"> (including L</w:t>
      </w:r>
      <w:r w:rsidR="00262DEE">
        <w:t xml:space="preserve">easeholders </w:t>
      </w:r>
      <w:r w:rsidR="00D77DD0">
        <w:t>statutory</w:t>
      </w:r>
      <w:r w:rsidR="00262DEE">
        <w:t xml:space="preserve"> notification)</w:t>
      </w:r>
      <w:r>
        <w:t xml:space="preserve"> to ensure a quality product is delivered. </w:t>
      </w:r>
      <w:r w:rsidR="001500D6">
        <w:t xml:space="preserve">The project will be subject to </w:t>
      </w:r>
      <w:r w:rsidR="0039295B">
        <w:t>the Build a Better Harrow project Framework</w:t>
      </w:r>
      <w:r w:rsidR="00616237">
        <w:t>.</w:t>
      </w:r>
    </w:p>
    <w:p w:rsidR="00D77DD0" w:rsidRDefault="00D77DD0" w:rsidP="00BB1785">
      <w:pPr>
        <w:ind w:left="720" w:hanging="720"/>
      </w:pPr>
    </w:p>
    <w:p w:rsidR="00BB1785" w:rsidRDefault="00616237" w:rsidP="00616237">
      <w:pPr>
        <w:ind w:left="720" w:hanging="720"/>
      </w:pPr>
      <w:r>
        <w:t>8.2</w:t>
      </w:r>
      <w:r>
        <w:tab/>
        <w:t>Post-</w:t>
      </w:r>
      <w:r w:rsidR="00262DEE">
        <w:t xml:space="preserve">Contract: </w:t>
      </w:r>
      <w:r w:rsidR="00BB1785">
        <w:t>The</w:t>
      </w:r>
      <w:r w:rsidR="00262DEE">
        <w:t xml:space="preserve"> Project Manager will manage the </w:t>
      </w:r>
      <w:r w:rsidR="00BB1785">
        <w:t xml:space="preserve">Clerk of </w:t>
      </w:r>
      <w:r w:rsidR="00D77DD0">
        <w:t>Works and</w:t>
      </w:r>
      <w:r w:rsidR="00262DEE">
        <w:t xml:space="preserve"> other agencies </w:t>
      </w:r>
      <w:r w:rsidR="00D77DD0">
        <w:t>to ensure</w:t>
      </w:r>
      <w:r w:rsidR="00262DEE">
        <w:t xml:space="preserve"> deliver</w:t>
      </w:r>
      <w:r w:rsidR="009A157C">
        <w:t>y</w:t>
      </w:r>
      <w:r w:rsidR="00262DEE">
        <w:t xml:space="preserve"> o</w:t>
      </w:r>
      <w:r w:rsidR="009A157C">
        <w:t>f the</w:t>
      </w:r>
      <w:r w:rsidR="00262DEE">
        <w:t xml:space="preserve"> </w:t>
      </w:r>
      <w:r w:rsidR="00E97D5B">
        <w:t>programme and</w:t>
      </w:r>
      <w:r w:rsidR="00262DEE">
        <w:t xml:space="preserve"> quality of installed product and will </w:t>
      </w:r>
      <w:r w:rsidR="00BB1785">
        <w:t>resolve any issues that should occur</w:t>
      </w:r>
      <w:r w:rsidR="00D77DD0">
        <w:t xml:space="preserve"> </w:t>
      </w:r>
      <w:r w:rsidR="00262DEE">
        <w:t>as they arise</w:t>
      </w:r>
      <w:r w:rsidR="00BB1785">
        <w:t xml:space="preserve">. </w:t>
      </w:r>
    </w:p>
    <w:p w:rsidR="00BB1785" w:rsidRDefault="00BB1785" w:rsidP="00BB1785">
      <w:pPr>
        <w:rPr>
          <w:b/>
        </w:rPr>
      </w:pPr>
    </w:p>
    <w:p w:rsidR="00BB1785" w:rsidRDefault="00BB1785" w:rsidP="00BB1785">
      <w:pPr>
        <w:rPr>
          <w:b/>
        </w:rPr>
      </w:pPr>
      <w:r>
        <w:rPr>
          <w:b/>
        </w:rPr>
        <w:t xml:space="preserve">9.0 </w:t>
      </w:r>
      <w:r w:rsidR="00616237">
        <w:rPr>
          <w:b/>
        </w:rPr>
        <w:tab/>
      </w:r>
      <w:r>
        <w:rPr>
          <w:b/>
        </w:rPr>
        <w:t xml:space="preserve">Ward Councillors’ comments </w:t>
      </w:r>
    </w:p>
    <w:p w:rsidR="00BB1785" w:rsidRDefault="00BB1785" w:rsidP="00BB1785">
      <w:pPr>
        <w:rPr>
          <w:b/>
        </w:rPr>
      </w:pPr>
    </w:p>
    <w:p w:rsidR="00616237" w:rsidRDefault="00BB1785" w:rsidP="00262DEE">
      <w:pPr>
        <w:ind w:left="720" w:hanging="720"/>
      </w:pPr>
      <w:r>
        <w:t xml:space="preserve">9.1 </w:t>
      </w:r>
      <w:r>
        <w:tab/>
      </w:r>
      <w:r w:rsidR="006C3B0E" w:rsidRPr="00C20053">
        <w:t xml:space="preserve">This programme of works affects blocks all across the Borough and it is our statutory duty to carry out the necessary works to continue to ensure the continued safety of our residents.  </w:t>
      </w:r>
    </w:p>
    <w:p w:rsidR="00616237" w:rsidRDefault="00616237" w:rsidP="00262DEE">
      <w:pPr>
        <w:ind w:left="720" w:hanging="720"/>
      </w:pPr>
    </w:p>
    <w:p w:rsidR="00262DEE" w:rsidRPr="0096134E" w:rsidRDefault="00616237" w:rsidP="00262DEE">
      <w:pPr>
        <w:ind w:left="720" w:hanging="720"/>
        <w:rPr>
          <w:highlight w:val="yellow"/>
        </w:rPr>
      </w:pPr>
      <w:r>
        <w:t>9.2</w:t>
      </w:r>
      <w:r>
        <w:tab/>
      </w:r>
      <w:r w:rsidR="006C3B0E" w:rsidRPr="00C20053">
        <w:t>All Councillors will be informed of the works and invited to the scheduled consultation events.</w:t>
      </w:r>
    </w:p>
    <w:p w:rsidR="00262DEE" w:rsidRPr="0096134E" w:rsidRDefault="00262DEE" w:rsidP="00BB1785">
      <w:pPr>
        <w:ind w:left="720" w:hanging="720"/>
        <w:rPr>
          <w:highlight w:val="yellow"/>
        </w:rPr>
      </w:pPr>
    </w:p>
    <w:p w:rsidR="007D106B" w:rsidRPr="00727387" w:rsidRDefault="007D106B" w:rsidP="00164B0B"/>
    <w:p w:rsidR="00616237" w:rsidRDefault="00E72F3E" w:rsidP="00CF6E22">
      <w:pPr>
        <w:pStyle w:val="Heading4"/>
        <w:tabs>
          <w:tab w:val="left" w:pos="3600"/>
        </w:tabs>
        <w:rPr>
          <w:rFonts w:cs="Times New Roman"/>
        </w:rPr>
      </w:pPr>
      <w:r>
        <w:rPr>
          <w:szCs w:val="24"/>
        </w:rPr>
        <w:t>1</w:t>
      </w:r>
      <w:r w:rsidRPr="00425D70">
        <w:rPr>
          <w:rFonts w:cs="Times New Roman"/>
        </w:rPr>
        <w:t>0.</w:t>
      </w:r>
      <w:r w:rsidR="00425D70">
        <w:rPr>
          <w:rFonts w:cs="Times New Roman"/>
        </w:rPr>
        <w:t xml:space="preserve">      </w:t>
      </w:r>
      <w:r w:rsidR="007D106B" w:rsidRPr="00425D70">
        <w:rPr>
          <w:rFonts w:cs="Times New Roman"/>
        </w:rPr>
        <w:t>Performance Issues</w:t>
      </w:r>
    </w:p>
    <w:p w:rsidR="007D106B" w:rsidRPr="00CF6E22" w:rsidRDefault="007D106B" w:rsidP="00CF6E22">
      <w:pPr>
        <w:pStyle w:val="Heading4"/>
        <w:tabs>
          <w:tab w:val="left" w:pos="3600"/>
        </w:tabs>
        <w:rPr>
          <w:szCs w:val="24"/>
        </w:rPr>
      </w:pPr>
      <w:r w:rsidRPr="00425D70">
        <w:rPr>
          <w:rFonts w:cs="Times New Roman"/>
        </w:rPr>
        <w:tab/>
      </w:r>
    </w:p>
    <w:p w:rsidR="00BE4EA4" w:rsidRDefault="00616237" w:rsidP="00616237">
      <w:pPr>
        <w:ind w:left="720" w:hanging="720"/>
      </w:pPr>
      <w:r>
        <w:t>10.1</w:t>
      </w:r>
      <w:r>
        <w:tab/>
      </w:r>
      <w:r w:rsidR="007D106B" w:rsidRPr="00B60DF5">
        <w:t xml:space="preserve">The </w:t>
      </w:r>
      <w:r w:rsidR="00262DEE">
        <w:t>successful</w:t>
      </w:r>
      <w:r w:rsidR="007D106B" w:rsidRPr="00B60DF5">
        <w:t xml:space="preserve"> contractor will be managed </w:t>
      </w:r>
      <w:r w:rsidR="007D106B">
        <w:t xml:space="preserve">effectively </w:t>
      </w:r>
      <w:r w:rsidR="007D106B" w:rsidRPr="00B60DF5">
        <w:t>from mobilisation</w:t>
      </w:r>
      <w:r w:rsidR="00D77DD0">
        <w:t xml:space="preserve">, </w:t>
      </w:r>
      <w:r w:rsidR="00D77DD0" w:rsidRPr="00B60DF5">
        <w:t>performance</w:t>
      </w:r>
      <w:r w:rsidR="007D106B" w:rsidRPr="00463799">
        <w:t xml:space="preserve"> </w:t>
      </w:r>
      <w:r w:rsidR="007D106B" w:rsidRPr="00122485">
        <w:t>statistics will be reviewed on a monthly basis and monitored</w:t>
      </w:r>
      <w:r w:rsidR="007D106B">
        <w:t xml:space="preserve"> through a combination of regular site visits and formal meetings</w:t>
      </w:r>
      <w:r w:rsidR="00262DEE">
        <w:t>, together with monthly evaluations</w:t>
      </w:r>
      <w:r w:rsidR="00D77DD0">
        <w:t xml:space="preserve"> identifying monetary and quanti</w:t>
      </w:r>
      <w:r w:rsidR="00262DEE">
        <w:t>t</w:t>
      </w:r>
      <w:r w:rsidR="00051A48">
        <w:t>at</w:t>
      </w:r>
      <w:r w:rsidR="00262DEE">
        <w:t>ive delivery</w:t>
      </w:r>
      <w:r w:rsidR="00BE4EA4">
        <w:t xml:space="preserve">.  </w:t>
      </w:r>
    </w:p>
    <w:p w:rsidR="00616237" w:rsidRDefault="00616237" w:rsidP="00616237">
      <w:pPr>
        <w:ind w:left="720" w:hanging="720"/>
      </w:pPr>
    </w:p>
    <w:p w:rsidR="007D106B" w:rsidRDefault="00616237" w:rsidP="00616237">
      <w:pPr>
        <w:ind w:left="720" w:hanging="720"/>
      </w:pPr>
      <w:r>
        <w:t>10.2</w:t>
      </w:r>
      <w:r>
        <w:tab/>
      </w:r>
      <w:r w:rsidR="00262DEE">
        <w:t xml:space="preserve">This data </w:t>
      </w:r>
      <w:r w:rsidR="00BE4EA4">
        <w:t xml:space="preserve">is also </w:t>
      </w:r>
      <w:r w:rsidR="00D77DD0">
        <w:t>reported</w:t>
      </w:r>
      <w:r w:rsidR="00BE4EA4">
        <w:t xml:space="preserve"> </w:t>
      </w:r>
      <w:r w:rsidR="00D6323E">
        <w:t>to Corporate</w:t>
      </w:r>
      <w:r w:rsidR="00BE4EA4">
        <w:t xml:space="preserve"> Director level via </w:t>
      </w:r>
      <w:r w:rsidR="00262DEE">
        <w:t xml:space="preserve">the </w:t>
      </w:r>
      <w:r w:rsidR="00262DEE" w:rsidRPr="00D6323E">
        <w:t>Corporate Project Monitoring process</w:t>
      </w:r>
      <w:r w:rsidR="00BE4EA4" w:rsidRPr="00D6323E">
        <w:t xml:space="preserve"> so that there is a wider awareness of the project status at any given tim</w:t>
      </w:r>
      <w:r w:rsidR="00BE4EA4">
        <w:t>e.</w:t>
      </w:r>
      <w:r w:rsidR="00262DEE">
        <w:t xml:space="preserve"> </w:t>
      </w:r>
    </w:p>
    <w:p w:rsidR="00616237" w:rsidRPr="00425D70" w:rsidRDefault="00616237" w:rsidP="00616237">
      <w:pPr>
        <w:ind w:left="720" w:hanging="720"/>
      </w:pPr>
    </w:p>
    <w:p w:rsidR="00672D68" w:rsidRDefault="00616237" w:rsidP="00616237">
      <w:pPr>
        <w:ind w:left="720" w:hanging="720"/>
      </w:pPr>
      <w:r>
        <w:rPr>
          <w:rFonts w:cs="Arial"/>
        </w:rPr>
        <w:t>10.3</w:t>
      </w:r>
      <w:r>
        <w:rPr>
          <w:rFonts w:cs="Arial"/>
        </w:rPr>
        <w:tab/>
      </w:r>
      <w:r w:rsidR="00C91784" w:rsidRPr="00425D70">
        <w:t>The Contract will provide</w:t>
      </w:r>
      <w:r w:rsidR="00E21716" w:rsidRPr="00425D70">
        <w:t xml:space="preserve"> </w:t>
      </w:r>
      <w:r w:rsidR="00E97D5B" w:rsidRPr="00425D70">
        <w:t>a</w:t>
      </w:r>
      <w:r w:rsidR="00C91784" w:rsidRPr="00425D70">
        <w:t>12-month</w:t>
      </w:r>
      <w:r w:rsidR="00E21716" w:rsidRPr="00425D70">
        <w:t xml:space="preserve"> </w:t>
      </w:r>
      <w:r w:rsidR="00C91784" w:rsidRPr="00425D70">
        <w:t>Defects</w:t>
      </w:r>
      <w:r w:rsidR="00E21716" w:rsidRPr="00425D70">
        <w:t xml:space="preserve"> Liability</w:t>
      </w:r>
      <w:r w:rsidR="00C91784" w:rsidRPr="00425D70">
        <w:t xml:space="preserve"> Period.  </w:t>
      </w:r>
      <w:r w:rsidR="0039295B">
        <w:t>The emergency l</w:t>
      </w:r>
      <w:r w:rsidR="00E21716" w:rsidRPr="00425D70">
        <w:t xml:space="preserve">ighting to block Common Parts </w:t>
      </w:r>
      <w:r w:rsidRPr="00425D70">
        <w:t>areas</w:t>
      </w:r>
      <w:r w:rsidR="00C91784" w:rsidRPr="00425D70">
        <w:t xml:space="preserve"> </w:t>
      </w:r>
      <w:r w:rsidR="00E21716" w:rsidRPr="00425D70">
        <w:t xml:space="preserve">will be covered by warranty </w:t>
      </w:r>
      <w:r w:rsidR="008F3B48" w:rsidRPr="00425D70">
        <w:t>for the first 5-</w:t>
      </w:r>
      <w:r w:rsidR="00E21716" w:rsidRPr="00425D70">
        <w:t>years</w:t>
      </w:r>
      <w:r w:rsidR="00C91784" w:rsidRPr="00425D70">
        <w:t xml:space="preserve"> (4 additional years</w:t>
      </w:r>
      <w:r w:rsidR="00672D68" w:rsidRPr="00425D70">
        <w:t xml:space="preserve"> thereafter</w:t>
      </w:r>
      <w:r w:rsidR="00C91784" w:rsidRPr="00425D70">
        <w:t>);</w:t>
      </w:r>
      <w:r w:rsidR="00E21716" w:rsidRPr="00425D70">
        <w:t xml:space="preserve"> defective products under warranty will also be included within the extended warranty. The manufacturer will need to be added to the </w:t>
      </w:r>
      <w:r w:rsidR="00672D68" w:rsidRPr="00425D70">
        <w:t xml:space="preserve">Responsive </w:t>
      </w:r>
      <w:r w:rsidR="00E21716" w:rsidRPr="00425D70">
        <w:t xml:space="preserve">Maintenance approved contractor list to carry out non-warranty works. </w:t>
      </w:r>
    </w:p>
    <w:p w:rsidR="00616237" w:rsidRPr="00425D70" w:rsidRDefault="00616237" w:rsidP="00616237">
      <w:pPr>
        <w:ind w:left="720" w:hanging="720"/>
      </w:pPr>
    </w:p>
    <w:p w:rsidR="00BC5080" w:rsidRPr="00425D70" w:rsidRDefault="00616237" w:rsidP="00616237">
      <w:pPr>
        <w:ind w:left="720" w:hanging="720"/>
      </w:pPr>
      <w:r>
        <w:t>10.4</w:t>
      </w:r>
      <w:r>
        <w:tab/>
      </w:r>
      <w:r w:rsidR="00E21716" w:rsidRPr="00425D70">
        <w:t xml:space="preserve">Going forward a service contract will need to </w:t>
      </w:r>
      <w:r w:rsidR="0039295B">
        <w:t>be put in place. The emergency l</w:t>
      </w:r>
      <w:r w:rsidR="00E21716" w:rsidRPr="00425D70">
        <w:t xml:space="preserve">ighting Systems will be Cloud </w:t>
      </w:r>
      <w:r w:rsidR="00BE4EA4" w:rsidRPr="00425D70">
        <w:t>based</w:t>
      </w:r>
      <w:r w:rsidR="00672D68" w:rsidRPr="00425D70">
        <w:t>,</w:t>
      </w:r>
      <w:r w:rsidR="00BE4EA4" w:rsidRPr="00425D70">
        <w:t xml:space="preserve"> enabling remote analysis</w:t>
      </w:r>
      <w:r w:rsidR="00E21716" w:rsidRPr="00425D70">
        <w:t xml:space="preserve"> </w:t>
      </w:r>
      <w:r w:rsidR="00BE4EA4" w:rsidRPr="00425D70">
        <w:t>of the installations</w:t>
      </w:r>
      <w:r w:rsidR="00D77DD0" w:rsidRPr="00425D70">
        <w:t xml:space="preserve"> and fob management</w:t>
      </w:r>
      <w:r w:rsidR="00BE4EA4" w:rsidRPr="00425D70">
        <w:t xml:space="preserve">. The systems will monitor to the </w:t>
      </w:r>
      <w:r w:rsidR="00E90015" w:rsidRPr="00425D70">
        <w:t xml:space="preserve">British Standard </w:t>
      </w:r>
      <w:r w:rsidR="008F3B48" w:rsidRPr="00425D70">
        <w:t>Test</w:t>
      </w:r>
      <w:r w:rsidR="00FF6B9A" w:rsidRPr="00425D70">
        <w:t>ing regime</w:t>
      </w:r>
      <w:r w:rsidR="00BE4EA4" w:rsidRPr="00425D70">
        <w:t>s</w:t>
      </w:r>
      <w:r w:rsidR="008F3B48" w:rsidRPr="00425D70">
        <w:t xml:space="preserve"> </w:t>
      </w:r>
      <w:r w:rsidR="00C91784" w:rsidRPr="00425D70">
        <w:t xml:space="preserve">and report </w:t>
      </w:r>
      <w:r w:rsidR="00BE4EA4" w:rsidRPr="00425D70">
        <w:t xml:space="preserve">outcomes </w:t>
      </w:r>
      <w:r w:rsidR="00E90015" w:rsidRPr="00425D70">
        <w:t xml:space="preserve">on a monthly </w:t>
      </w:r>
      <w:r w:rsidR="00FF6B9A" w:rsidRPr="00425D70">
        <w:t xml:space="preserve">and annual basis thus </w:t>
      </w:r>
      <w:r w:rsidR="00E21716" w:rsidRPr="00425D70">
        <w:t xml:space="preserve">largely negating staff </w:t>
      </w:r>
      <w:r w:rsidR="00FF6B9A" w:rsidRPr="00425D70">
        <w:t>and</w:t>
      </w:r>
      <w:r w:rsidR="00E21716" w:rsidRPr="00425D70">
        <w:t xml:space="preserve"> contractor </w:t>
      </w:r>
      <w:r w:rsidR="00FF6B9A" w:rsidRPr="00425D70">
        <w:t>input</w:t>
      </w:r>
      <w:r w:rsidR="00672D68" w:rsidRPr="00425D70">
        <w:t xml:space="preserve"> in relation to</w:t>
      </w:r>
      <w:r w:rsidR="00FF6B9A" w:rsidRPr="00425D70">
        <w:t xml:space="preserve"> </w:t>
      </w:r>
      <w:r w:rsidR="00E21716" w:rsidRPr="00425D70">
        <w:t>site attendance</w:t>
      </w:r>
      <w:r w:rsidR="00FF6B9A" w:rsidRPr="00425D70">
        <w:t xml:space="preserve"> </w:t>
      </w:r>
      <w:r w:rsidR="00672D68" w:rsidRPr="00425D70">
        <w:t xml:space="preserve">and aims to </w:t>
      </w:r>
      <w:r w:rsidR="00FF6B9A" w:rsidRPr="00425D70">
        <w:t>drive</w:t>
      </w:r>
      <w:r w:rsidR="00E90015" w:rsidRPr="00425D70">
        <w:t xml:space="preserve"> down </w:t>
      </w:r>
      <w:r w:rsidR="00CF6E22" w:rsidRPr="00425D70">
        <w:t xml:space="preserve">ongoing </w:t>
      </w:r>
      <w:r w:rsidR="008F3B48" w:rsidRPr="00425D70">
        <w:t>cyclical maintenance costs.</w:t>
      </w:r>
    </w:p>
    <w:p w:rsidR="00BC5080" w:rsidRPr="00425D70" w:rsidRDefault="00BC5080" w:rsidP="00425D70">
      <w:pPr>
        <w:ind w:left="720"/>
      </w:pPr>
    </w:p>
    <w:p w:rsidR="00BC5080" w:rsidRPr="00425D70" w:rsidRDefault="00616237" w:rsidP="00616237">
      <w:pPr>
        <w:ind w:left="720" w:hanging="720"/>
      </w:pPr>
      <w:r>
        <w:t>10.5</w:t>
      </w:r>
      <w:r>
        <w:tab/>
      </w:r>
      <w:r w:rsidR="00BC5080" w:rsidRPr="00425D70">
        <w:t xml:space="preserve">Alarm detection D1 LD2D systems </w:t>
      </w:r>
      <w:r w:rsidR="008F3B48" w:rsidRPr="00425D70">
        <w:t xml:space="preserve">will be the </w:t>
      </w:r>
      <w:r w:rsidR="00E21716" w:rsidRPr="00425D70">
        <w:t>new</w:t>
      </w:r>
      <w:r w:rsidR="00CF6E22" w:rsidRPr="00425D70">
        <w:t xml:space="preserve"> </w:t>
      </w:r>
      <w:r w:rsidR="00E21716" w:rsidRPr="00425D70">
        <w:t xml:space="preserve">installation </w:t>
      </w:r>
      <w:r w:rsidR="00F528B8" w:rsidRPr="00425D70">
        <w:t xml:space="preserve">standard </w:t>
      </w:r>
      <w:r w:rsidR="008F3B48" w:rsidRPr="00425D70">
        <w:t xml:space="preserve">to </w:t>
      </w:r>
      <w:r w:rsidR="0075784F" w:rsidRPr="00425D70">
        <w:t>all</w:t>
      </w:r>
      <w:r w:rsidR="00E21716" w:rsidRPr="00425D70">
        <w:t xml:space="preserve"> housing Stock</w:t>
      </w:r>
      <w:r w:rsidR="00672D68" w:rsidRPr="00425D70">
        <w:t>.</w:t>
      </w:r>
      <w:r w:rsidR="00E21716" w:rsidRPr="00425D70">
        <w:t xml:space="preserve"> </w:t>
      </w:r>
      <w:r w:rsidR="00672D68" w:rsidRPr="00425D70">
        <w:t>T</w:t>
      </w:r>
      <w:r w:rsidR="00E21716" w:rsidRPr="00425D70">
        <w:t xml:space="preserve">hese installations </w:t>
      </w:r>
      <w:r w:rsidR="00E23BF5" w:rsidRPr="00425D70">
        <w:t xml:space="preserve">will </w:t>
      </w:r>
      <w:r w:rsidR="008F3B48" w:rsidRPr="00425D70">
        <w:t xml:space="preserve">be monitored </w:t>
      </w:r>
      <w:r w:rsidR="00E21716" w:rsidRPr="00425D70">
        <w:t>via</w:t>
      </w:r>
      <w:r w:rsidR="00003BE8" w:rsidRPr="00425D70">
        <w:t xml:space="preserve"> </w:t>
      </w:r>
      <w:r w:rsidR="0039295B">
        <w:t>a c</w:t>
      </w:r>
      <w:r w:rsidR="008F3B48" w:rsidRPr="00425D70">
        <w:t>loud</w:t>
      </w:r>
      <w:r w:rsidR="0039295B">
        <w:t xml:space="preserve"> based system</w:t>
      </w:r>
      <w:r w:rsidR="00672D68" w:rsidRPr="00425D70">
        <w:t>,</w:t>
      </w:r>
      <w:r w:rsidR="008F3B48" w:rsidRPr="00425D70">
        <w:t xml:space="preserve"> </w:t>
      </w:r>
      <w:r w:rsidR="00A81B1D" w:rsidRPr="00425D70">
        <w:t>allowing dynamic remote interrogation/reporting</w:t>
      </w:r>
      <w:r w:rsidR="00E23BF5" w:rsidRPr="00425D70">
        <w:t xml:space="preserve"> and real time monitoring of </w:t>
      </w:r>
      <w:r w:rsidR="00A81B1D" w:rsidRPr="00425D70">
        <w:t xml:space="preserve">tampering, </w:t>
      </w:r>
      <w:r w:rsidR="00E23BF5" w:rsidRPr="00425D70">
        <w:t>defaults and</w:t>
      </w:r>
      <w:r w:rsidR="00BC5080" w:rsidRPr="00425D70">
        <w:t xml:space="preserve"> emerge</w:t>
      </w:r>
      <w:r w:rsidR="00A81B1D" w:rsidRPr="00425D70">
        <w:t xml:space="preserve">ncy alerts. </w:t>
      </w:r>
    </w:p>
    <w:p w:rsidR="00BC5080" w:rsidRPr="00425D70" w:rsidRDefault="00BC5080" w:rsidP="00425D70">
      <w:pPr>
        <w:ind w:left="720"/>
      </w:pPr>
    </w:p>
    <w:p w:rsidR="00F647E5" w:rsidRPr="00425D70" w:rsidRDefault="00616237" w:rsidP="00616237">
      <w:pPr>
        <w:ind w:left="720" w:hanging="720"/>
      </w:pPr>
      <w:r>
        <w:t>10.6</w:t>
      </w:r>
      <w:r>
        <w:tab/>
      </w:r>
      <w:r w:rsidR="008F3B48" w:rsidRPr="00425D70">
        <w:t xml:space="preserve">The video </w:t>
      </w:r>
      <w:r w:rsidR="0039295B">
        <w:t>d</w:t>
      </w:r>
      <w:r w:rsidR="00D113A4" w:rsidRPr="00425D70">
        <w:t xml:space="preserve">oor entry security </w:t>
      </w:r>
      <w:r w:rsidR="00672D68" w:rsidRPr="00425D70">
        <w:t xml:space="preserve">systems </w:t>
      </w:r>
      <w:r w:rsidR="00D113A4" w:rsidRPr="00425D70">
        <w:t>will</w:t>
      </w:r>
      <w:r w:rsidR="00E90015" w:rsidRPr="00425D70">
        <w:t xml:space="preserve"> </w:t>
      </w:r>
      <w:r w:rsidR="008F3B48" w:rsidRPr="00425D70">
        <w:t>also be</w:t>
      </w:r>
      <w:r w:rsidR="00D113A4" w:rsidRPr="00425D70">
        <w:t xml:space="preserve"> </w:t>
      </w:r>
      <w:r w:rsidR="0039295B">
        <w:t>c</w:t>
      </w:r>
      <w:r w:rsidR="00E90015" w:rsidRPr="00425D70">
        <w:t xml:space="preserve">loud </w:t>
      </w:r>
      <w:r w:rsidR="008F3B48" w:rsidRPr="00425D70">
        <w:t>based</w:t>
      </w:r>
      <w:r w:rsidR="00672D68" w:rsidRPr="00425D70">
        <w:t>,</w:t>
      </w:r>
      <w:r w:rsidR="008F3B48" w:rsidRPr="00425D70">
        <w:t xml:space="preserve"> enabling </w:t>
      </w:r>
      <w:r w:rsidR="00E90015" w:rsidRPr="00425D70">
        <w:t>rem</w:t>
      </w:r>
      <w:r w:rsidR="008F3B48" w:rsidRPr="00425D70">
        <w:t xml:space="preserve">ote programming of </w:t>
      </w:r>
      <w:r w:rsidR="00051A48" w:rsidRPr="00425D70">
        <w:t>key fobs</w:t>
      </w:r>
      <w:r w:rsidR="008F3B48" w:rsidRPr="00425D70">
        <w:t xml:space="preserve"> </w:t>
      </w:r>
      <w:r w:rsidR="00E90015" w:rsidRPr="00425D70">
        <w:t>to assist in controlling block security</w:t>
      </w:r>
      <w:r w:rsidR="00672D68" w:rsidRPr="00425D70">
        <w:t>,</w:t>
      </w:r>
      <w:r w:rsidR="00D77DD0" w:rsidRPr="00425D70">
        <w:t xml:space="preserve"> thus</w:t>
      </w:r>
      <w:r w:rsidR="00E23BF5" w:rsidRPr="00425D70">
        <w:t xml:space="preserve"> </w:t>
      </w:r>
      <w:r w:rsidR="00F647E5" w:rsidRPr="00425D70">
        <w:t>reducing</w:t>
      </w:r>
      <w:r w:rsidR="00D113A4" w:rsidRPr="00425D70">
        <w:t xml:space="preserve"> </w:t>
      </w:r>
      <w:r w:rsidR="00F647E5" w:rsidRPr="00425D70">
        <w:t xml:space="preserve">the risks of </w:t>
      </w:r>
      <w:r w:rsidR="00D113A4" w:rsidRPr="00425D70">
        <w:t xml:space="preserve">fobs </w:t>
      </w:r>
      <w:r w:rsidR="00F647E5" w:rsidRPr="00425D70">
        <w:t xml:space="preserve">entering </w:t>
      </w:r>
      <w:r w:rsidR="0075784F" w:rsidRPr="00425D70">
        <w:t xml:space="preserve">in </w:t>
      </w:r>
      <w:r w:rsidR="00F647E5" w:rsidRPr="00425D70">
        <w:t>to circulation to non-resident</w:t>
      </w:r>
      <w:r w:rsidR="0075784F" w:rsidRPr="00425D70">
        <w:t>s</w:t>
      </w:r>
      <w:r w:rsidR="00D6323E" w:rsidRPr="00425D70">
        <w:t>.</w:t>
      </w:r>
      <w:r w:rsidR="00A352B4" w:rsidRPr="00425D70">
        <w:t xml:space="preserve"> </w:t>
      </w:r>
    </w:p>
    <w:p w:rsidR="00D6323E" w:rsidRPr="00425D70" w:rsidRDefault="00D6323E" w:rsidP="00425D70">
      <w:pPr>
        <w:ind w:left="720"/>
      </w:pPr>
    </w:p>
    <w:p w:rsidR="007D106B" w:rsidRPr="00425D70" w:rsidRDefault="00616237" w:rsidP="00616237">
      <w:pPr>
        <w:ind w:left="720" w:hanging="720"/>
      </w:pPr>
      <w:r>
        <w:t>10.7</w:t>
      </w:r>
      <w:r>
        <w:tab/>
      </w:r>
      <w:r w:rsidR="00672D68" w:rsidRPr="00425D70">
        <w:t>The implementation of</w:t>
      </w:r>
      <w:r w:rsidR="0039295B">
        <w:t xml:space="preserve"> c</w:t>
      </w:r>
      <w:r w:rsidR="00F647E5" w:rsidRPr="00425D70">
        <w:t>loud</w:t>
      </w:r>
      <w:r w:rsidR="00A352B4" w:rsidRPr="00425D70">
        <w:t xml:space="preserve"> </w:t>
      </w:r>
      <w:r w:rsidR="00BE4EA4" w:rsidRPr="00425D70">
        <w:t xml:space="preserve">based safety </w:t>
      </w:r>
      <w:r w:rsidR="00A352B4" w:rsidRPr="00425D70">
        <w:t xml:space="preserve">systems </w:t>
      </w:r>
      <w:r w:rsidR="00672D68" w:rsidRPr="00425D70">
        <w:t xml:space="preserve">is anticipated to </w:t>
      </w:r>
      <w:r w:rsidR="00F647E5" w:rsidRPr="00425D70">
        <w:t>reduce</w:t>
      </w:r>
      <w:r w:rsidR="007D106B" w:rsidRPr="00425D70">
        <w:t xml:space="preserve"> reactive maintenance </w:t>
      </w:r>
      <w:r w:rsidR="006E49E3" w:rsidRPr="00425D70">
        <w:t>resourcing</w:t>
      </w:r>
      <w:r w:rsidR="00BE4EA4" w:rsidRPr="00425D70">
        <w:t>, resulting</w:t>
      </w:r>
      <w:r w:rsidR="0075784F" w:rsidRPr="00425D70">
        <w:t xml:space="preserve"> from contractor</w:t>
      </w:r>
      <w:r w:rsidR="008F3B48" w:rsidRPr="00425D70">
        <w:t xml:space="preserve"> </w:t>
      </w:r>
      <w:r w:rsidR="00F647E5" w:rsidRPr="00425D70">
        <w:t xml:space="preserve">attendance </w:t>
      </w:r>
      <w:r w:rsidR="008F3B48" w:rsidRPr="00425D70">
        <w:t>and staff</w:t>
      </w:r>
      <w:r w:rsidR="006E49E3" w:rsidRPr="00425D70">
        <w:t xml:space="preserve"> time</w:t>
      </w:r>
      <w:r w:rsidR="00F647E5" w:rsidRPr="00425D70">
        <w:t xml:space="preserve"> costs</w:t>
      </w:r>
      <w:r w:rsidR="00A352B4" w:rsidRPr="00425D70">
        <w:t>.</w:t>
      </w:r>
    </w:p>
    <w:p w:rsidR="007D106B" w:rsidRPr="00BE4EA4" w:rsidRDefault="007D106B" w:rsidP="00425D70">
      <w:pPr>
        <w:ind w:left="720"/>
      </w:pPr>
      <w:r w:rsidRPr="00425D70">
        <w:t xml:space="preserve"> </w:t>
      </w:r>
    </w:p>
    <w:p w:rsidR="007D106B" w:rsidRDefault="00616237" w:rsidP="00616237">
      <w:pPr>
        <w:ind w:left="720" w:hanging="720"/>
      </w:pPr>
      <w:r>
        <w:t>10.8</w:t>
      </w:r>
      <w:r>
        <w:tab/>
      </w:r>
      <w:r w:rsidR="007D106B">
        <w:t>In addition we intend to form monthly project groups, inviting residents and members to support the management and monitoring of the</w:t>
      </w:r>
      <w:r w:rsidR="007C6424">
        <w:t>se</w:t>
      </w:r>
      <w:r w:rsidR="007D106B">
        <w:t xml:space="preserve"> schemes throughout their implementation. </w:t>
      </w:r>
    </w:p>
    <w:p w:rsidR="007D106B" w:rsidRPr="004C6528" w:rsidRDefault="007D106B" w:rsidP="00425D70">
      <w:pPr>
        <w:ind w:left="720"/>
      </w:pPr>
    </w:p>
    <w:p w:rsidR="007D106B" w:rsidRPr="00425D70" w:rsidRDefault="007D106B" w:rsidP="00425D70">
      <w:pPr>
        <w:ind w:left="720"/>
      </w:pPr>
    </w:p>
    <w:p w:rsidR="007D106B" w:rsidRDefault="00E72F3E" w:rsidP="007D106B">
      <w:pPr>
        <w:pStyle w:val="Heading4"/>
        <w:rPr>
          <w:szCs w:val="24"/>
        </w:rPr>
      </w:pPr>
      <w:r>
        <w:rPr>
          <w:szCs w:val="24"/>
        </w:rPr>
        <w:t xml:space="preserve">11. </w:t>
      </w:r>
      <w:r w:rsidR="00425D70">
        <w:rPr>
          <w:szCs w:val="24"/>
        </w:rPr>
        <w:tab/>
      </w:r>
      <w:r w:rsidR="007D106B" w:rsidRPr="001C3E77">
        <w:rPr>
          <w:szCs w:val="24"/>
        </w:rPr>
        <w:t>Environmental Implications</w:t>
      </w:r>
    </w:p>
    <w:p w:rsidR="00E72F3E" w:rsidRPr="002413B5" w:rsidRDefault="00E72F3E" w:rsidP="007D106B"/>
    <w:p w:rsidR="00616237" w:rsidRDefault="00616237" w:rsidP="00616237">
      <w:pPr>
        <w:ind w:left="720" w:hanging="720"/>
      </w:pPr>
      <w:r>
        <w:t>11.1</w:t>
      </w:r>
      <w:r>
        <w:tab/>
      </w:r>
      <w:r w:rsidR="007D106B" w:rsidRPr="00DD457D">
        <w:t xml:space="preserve">It is the intention that the delivery of any contract will contribute to the Council’s objectives around social, economic and </w:t>
      </w:r>
      <w:r w:rsidR="0096134E">
        <w:t>env</w:t>
      </w:r>
      <w:r>
        <w:t>ironmental sustainability. The C</w:t>
      </w:r>
      <w:r w:rsidR="0096134E">
        <w:t>ouncil intends to do all it can to ensure that it</w:t>
      </w:r>
      <w:r w:rsidR="007D106B" w:rsidRPr="00DD457D">
        <w:t xml:space="preserve"> support Harrow’s economy by buying locally wherever practical and maximise opportunities for local people in employment and training. </w:t>
      </w:r>
    </w:p>
    <w:p w:rsidR="00616237" w:rsidRDefault="00616237" w:rsidP="00616237">
      <w:pPr>
        <w:ind w:left="720" w:hanging="720"/>
      </w:pPr>
    </w:p>
    <w:p w:rsidR="007D106B" w:rsidRPr="00DD457D" w:rsidRDefault="00616237" w:rsidP="00616237">
      <w:pPr>
        <w:ind w:left="720" w:hanging="720"/>
      </w:pPr>
      <w:r>
        <w:t>11.2</w:t>
      </w:r>
      <w:r>
        <w:tab/>
      </w:r>
      <w:r w:rsidR="007D106B" w:rsidRPr="00DD457D">
        <w:t xml:space="preserve">The project will ensure that tenders provide detailed information about their contribution to the environment and sustainability.  </w:t>
      </w:r>
      <w:r w:rsidR="0096134E">
        <w:t xml:space="preserve">The project will </w:t>
      </w:r>
      <w:r w:rsidR="007D106B" w:rsidRPr="00DD457D">
        <w:t>require bidders to sign up to the Considerate Contractor Scheme</w:t>
      </w:r>
      <w:r w:rsidR="00BE4EA4">
        <w:t>.</w:t>
      </w:r>
    </w:p>
    <w:p w:rsidR="007D106B" w:rsidRPr="00C81367" w:rsidRDefault="007D106B" w:rsidP="007D106B">
      <w:pPr>
        <w:rPr>
          <w:highlight w:val="cyan"/>
        </w:rPr>
      </w:pPr>
    </w:p>
    <w:p w:rsidR="007D106B" w:rsidRDefault="00616237" w:rsidP="00616237">
      <w:pPr>
        <w:ind w:left="720" w:hanging="720"/>
      </w:pPr>
      <w:r>
        <w:t>11.3</w:t>
      </w:r>
      <w:r>
        <w:tab/>
      </w:r>
      <w:r w:rsidR="007D106B" w:rsidRPr="00BE4EA4">
        <w:t xml:space="preserve">Specific requirements on social, economic and environmental matters will vary according to the value and duration of each contract and </w:t>
      </w:r>
      <w:r w:rsidR="00BE4EA4" w:rsidRPr="00BE4EA4">
        <w:t>will be part of the pre-tender procurement documentation for inclusion in the online tender portal.</w:t>
      </w:r>
    </w:p>
    <w:p w:rsidR="0096134E" w:rsidRDefault="0096134E" w:rsidP="00425D70">
      <w:pPr>
        <w:ind w:left="720"/>
      </w:pPr>
    </w:p>
    <w:p w:rsidR="0096134E" w:rsidRPr="00BE4EA4" w:rsidRDefault="00616237" w:rsidP="00616237">
      <w:pPr>
        <w:ind w:left="720" w:hanging="720"/>
      </w:pPr>
      <w:r>
        <w:t>11.4</w:t>
      </w:r>
      <w:r>
        <w:tab/>
      </w:r>
      <w:r w:rsidR="0096134E">
        <w:t>Where practical the scheme will use products that will help reduce the Council’s carbon footprint.</w:t>
      </w:r>
    </w:p>
    <w:p w:rsidR="000929A6" w:rsidRPr="00B54AFA" w:rsidRDefault="000929A6" w:rsidP="001C7E35">
      <w:pPr>
        <w:rPr>
          <w:i/>
          <w:color w:val="0000FF"/>
        </w:rPr>
      </w:pPr>
    </w:p>
    <w:p w:rsidR="00B1160D" w:rsidRPr="00E72F3E" w:rsidRDefault="00E72F3E" w:rsidP="001C7E35">
      <w:pPr>
        <w:rPr>
          <w:b/>
        </w:rPr>
      </w:pPr>
      <w:r w:rsidRPr="00E72F3E">
        <w:rPr>
          <w:b/>
        </w:rPr>
        <w:t xml:space="preserve">12. </w:t>
      </w:r>
      <w:r w:rsidR="00425D70">
        <w:rPr>
          <w:b/>
        </w:rPr>
        <w:tab/>
      </w:r>
      <w:r w:rsidRPr="00E72F3E">
        <w:rPr>
          <w:b/>
        </w:rPr>
        <w:t>Data Protection Implications</w:t>
      </w:r>
    </w:p>
    <w:p w:rsidR="00616237" w:rsidRDefault="00616237" w:rsidP="00616237"/>
    <w:p w:rsidR="00E72F3E" w:rsidRDefault="00616237" w:rsidP="00616237">
      <w:pPr>
        <w:ind w:left="720" w:hanging="720"/>
      </w:pPr>
      <w:r>
        <w:t>12.1</w:t>
      </w:r>
      <w:r>
        <w:tab/>
      </w:r>
      <w:r w:rsidR="00E72F3E">
        <w:t xml:space="preserve">All personal data </w:t>
      </w:r>
      <w:r w:rsidR="002B7A26">
        <w:t xml:space="preserve">processed in connection with the project will be done in full compliance with data protection laws, including the Data Protection Act 2018 </w:t>
      </w:r>
      <w:r w:rsidR="000A667F">
        <w:t xml:space="preserve">and </w:t>
      </w:r>
      <w:r w:rsidR="00E72F3E">
        <w:t>GDPR.</w:t>
      </w:r>
    </w:p>
    <w:p w:rsidR="00684DFB" w:rsidRDefault="00684DFB" w:rsidP="00616237">
      <w:pPr>
        <w:ind w:left="720" w:hanging="720"/>
      </w:pPr>
    </w:p>
    <w:p w:rsidR="00A81E19" w:rsidRPr="007174EB" w:rsidRDefault="00E72F3E" w:rsidP="00A81E19">
      <w:pPr>
        <w:pStyle w:val="Heading2"/>
        <w:rPr>
          <w:sz w:val="24"/>
        </w:rPr>
      </w:pPr>
      <w:r w:rsidRPr="007174EB">
        <w:rPr>
          <w:sz w:val="24"/>
        </w:rPr>
        <w:t xml:space="preserve">13. </w:t>
      </w:r>
      <w:r w:rsidR="00425D70" w:rsidRPr="007174EB">
        <w:rPr>
          <w:sz w:val="24"/>
        </w:rPr>
        <w:tab/>
      </w:r>
      <w:r w:rsidR="00A81E19" w:rsidRPr="007174EB">
        <w:rPr>
          <w:sz w:val="24"/>
        </w:rPr>
        <w:t>Risk Management Implications</w:t>
      </w:r>
    </w:p>
    <w:p w:rsidR="00A81E19" w:rsidRDefault="00A81E19" w:rsidP="00A81E19">
      <w:pPr>
        <w:pStyle w:val="Heading4"/>
        <w:rPr>
          <w:b w:val="0"/>
        </w:rPr>
      </w:pPr>
    </w:p>
    <w:p w:rsidR="00A81E19" w:rsidRPr="00672D68" w:rsidRDefault="00A81E19" w:rsidP="00A81E19">
      <w:pPr>
        <w:tabs>
          <w:tab w:val="left" w:pos="5610"/>
        </w:tabs>
        <w:ind w:right="81"/>
        <w:rPr>
          <w:rFonts w:cs="Arial"/>
          <w:szCs w:val="24"/>
          <w:lang w:val="en-US"/>
        </w:rPr>
      </w:pPr>
    </w:p>
    <w:p w:rsidR="00A81E19" w:rsidRPr="00672D68" w:rsidRDefault="00A81E19" w:rsidP="00A81E19">
      <w:pPr>
        <w:tabs>
          <w:tab w:val="left" w:pos="5610"/>
        </w:tabs>
        <w:ind w:right="81"/>
        <w:rPr>
          <w:rFonts w:cs="Arial"/>
          <w:szCs w:val="24"/>
          <w:lang w:val="en-US"/>
        </w:rPr>
      </w:pPr>
      <w:r w:rsidRPr="00672D68">
        <w:rPr>
          <w:rFonts w:cs="Arial"/>
          <w:szCs w:val="24"/>
          <w:lang w:val="en-US"/>
        </w:rPr>
        <w:t xml:space="preserve">Risk included on Directorate risk register? </w:t>
      </w:r>
      <w:r w:rsidR="000133CE">
        <w:rPr>
          <w:rFonts w:cs="Arial"/>
          <w:szCs w:val="24"/>
          <w:lang w:val="en-US"/>
        </w:rPr>
        <w:t xml:space="preserve">       </w:t>
      </w:r>
      <w:r w:rsidRPr="00672D68">
        <w:rPr>
          <w:rFonts w:cs="Arial"/>
          <w:szCs w:val="24"/>
          <w:lang w:val="en-US"/>
        </w:rPr>
        <w:t xml:space="preserve"> Yes</w:t>
      </w:r>
      <w:r w:rsidR="00470918" w:rsidRPr="00672D68">
        <w:rPr>
          <w:rFonts w:cs="Arial"/>
          <w:szCs w:val="24"/>
          <w:lang w:val="en-US"/>
        </w:rPr>
        <w:t xml:space="preserve"> </w:t>
      </w:r>
    </w:p>
    <w:p w:rsidR="00A81E19" w:rsidRPr="00672D68" w:rsidRDefault="00A81E19" w:rsidP="00A81E19">
      <w:pPr>
        <w:ind w:right="141"/>
        <w:rPr>
          <w:rFonts w:cs="Arial"/>
          <w:szCs w:val="24"/>
          <w:lang w:val="en-US" w:eastAsia="en-GB"/>
        </w:rPr>
      </w:pPr>
      <w:r w:rsidRPr="00672D68">
        <w:rPr>
          <w:rFonts w:cs="Arial"/>
          <w:szCs w:val="24"/>
          <w:lang w:val="en-US" w:eastAsia="en-GB"/>
        </w:rPr>
        <w:t xml:space="preserve">Separate risk register in place?  </w:t>
      </w:r>
      <w:r w:rsidR="000133CE">
        <w:rPr>
          <w:rFonts w:cs="Arial"/>
          <w:szCs w:val="24"/>
          <w:lang w:val="en-US" w:eastAsia="en-GB"/>
        </w:rPr>
        <w:tab/>
      </w:r>
      <w:r w:rsidR="000133CE">
        <w:rPr>
          <w:rFonts w:cs="Arial"/>
          <w:szCs w:val="24"/>
          <w:lang w:val="en-US" w:eastAsia="en-GB"/>
        </w:rPr>
        <w:tab/>
      </w:r>
      <w:r w:rsidR="000133CE">
        <w:rPr>
          <w:rFonts w:cs="Arial"/>
          <w:szCs w:val="24"/>
          <w:lang w:val="en-US" w:eastAsia="en-GB"/>
        </w:rPr>
        <w:tab/>
      </w:r>
      <w:r w:rsidRPr="00672D68">
        <w:rPr>
          <w:rFonts w:cs="Arial"/>
          <w:szCs w:val="24"/>
          <w:lang w:val="en-US" w:eastAsia="en-GB"/>
        </w:rPr>
        <w:t>Yes</w:t>
      </w:r>
      <w:r w:rsidR="00470918" w:rsidRPr="00672D68">
        <w:rPr>
          <w:rFonts w:cs="Arial"/>
          <w:szCs w:val="24"/>
          <w:lang w:val="en-US" w:eastAsia="en-GB"/>
        </w:rPr>
        <w:t xml:space="preserve"> </w:t>
      </w:r>
    </w:p>
    <w:p w:rsidR="00A81E19" w:rsidRPr="00A81E19" w:rsidRDefault="00A81E19" w:rsidP="00A81E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81E19" w:rsidRPr="00421A4C" w:rsidTr="005D548F">
        <w:tc>
          <w:tcPr>
            <w:tcW w:w="8525" w:type="dxa"/>
            <w:shd w:val="clear" w:color="auto" w:fill="auto"/>
          </w:tcPr>
          <w:p w:rsidR="00EA685F" w:rsidRDefault="00616237" w:rsidP="00616237">
            <w:pPr>
              <w:autoSpaceDE w:val="0"/>
              <w:autoSpaceDN w:val="0"/>
              <w:adjustRightInd w:val="0"/>
              <w:ind w:left="709" w:hanging="709"/>
              <w:rPr>
                <w:rFonts w:cs="Arial"/>
                <w:szCs w:val="24"/>
                <w:lang w:eastAsia="en-GB"/>
              </w:rPr>
            </w:pPr>
            <w:r>
              <w:t xml:space="preserve">13.1    </w:t>
            </w:r>
            <w:r w:rsidR="001B6A1C">
              <w:t xml:space="preserve">A </w:t>
            </w:r>
            <w:r w:rsidR="001B6A1C">
              <w:rPr>
                <w:rFonts w:cs="Arial"/>
              </w:rPr>
              <w:t xml:space="preserve">risk register specific for this procurement will be started from </w:t>
            </w:r>
            <w:r w:rsidR="001E600F">
              <w:rPr>
                <w:rFonts w:cs="Arial"/>
              </w:rPr>
              <w:t>the outset</w:t>
            </w:r>
            <w:r w:rsidR="001B6A1C">
              <w:rPr>
                <w:rFonts w:cs="Arial"/>
              </w:rPr>
              <w:t xml:space="preserve"> of the process and will be maintained and reviewed by all relevant staff regularly</w:t>
            </w:r>
            <w:r>
              <w:rPr>
                <w:rFonts w:cs="Arial"/>
              </w:rPr>
              <w:t>.</w:t>
            </w:r>
          </w:p>
          <w:p w:rsidR="00FD0255" w:rsidRDefault="00616237" w:rsidP="00470918">
            <w:pPr>
              <w:autoSpaceDE w:val="0"/>
              <w:autoSpaceDN w:val="0"/>
              <w:adjustRightInd w:val="0"/>
              <w:rPr>
                <w:rFonts w:cs="Arial"/>
                <w:szCs w:val="24"/>
                <w:lang w:eastAsia="en-GB"/>
              </w:rPr>
            </w:pPr>
            <w:r>
              <w:rPr>
                <w:rFonts w:cs="Arial"/>
                <w:szCs w:val="24"/>
                <w:lang w:eastAsia="en-GB"/>
              </w:rPr>
              <w:t>13.2</w:t>
            </w:r>
            <w:r>
              <w:rPr>
                <w:rFonts w:cs="Arial"/>
                <w:szCs w:val="24"/>
                <w:lang w:eastAsia="en-GB"/>
              </w:rPr>
              <w:tab/>
            </w:r>
            <w:r w:rsidR="00470918">
              <w:rPr>
                <w:rFonts w:cs="Arial"/>
                <w:szCs w:val="24"/>
                <w:lang w:eastAsia="en-GB"/>
              </w:rPr>
              <w:t xml:space="preserve">The assigned Project Manager and </w:t>
            </w:r>
            <w:r w:rsidR="00FD0255">
              <w:rPr>
                <w:rFonts w:cs="Arial"/>
                <w:szCs w:val="24"/>
                <w:lang w:eastAsia="en-GB"/>
              </w:rPr>
              <w:t>Housing Asset Management</w:t>
            </w:r>
            <w:r w:rsidR="001B6A1C">
              <w:rPr>
                <w:rFonts w:cs="Arial"/>
                <w:szCs w:val="24"/>
                <w:lang w:eastAsia="en-GB"/>
              </w:rPr>
              <w:t xml:space="preserve"> team</w:t>
            </w:r>
            <w:r w:rsidR="00FD0255">
              <w:rPr>
                <w:rFonts w:cs="Arial"/>
                <w:szCs w:val="24"/>
                <w:lang w:eastAsia="en-GB"/>
              </w:rPr>
              <w:t xml:space="preserve"> </w:t>
            </w:r>
            <w:r>
              <w:rPr>
                <w:rFonts w:cs="Arial"/>
                <w:szCs w:val="24"/>
                <w:lang w:eastAsia="en-GB"/>
              </w:rPr>
              <w:tab/>
            </w:r>
            <w:r w:rsidR="00FD0255">
              <w:rPr>
                <w:rFonts w:cs="Arial"/>
                <w:szCs w:val="24"/>
                <w:lang w:eastAsia="en-GB"/>
              </w:rPr>
              <w:t>will</w:t>
            </w:r>
            <w:r w:rsidR="00470918">
              <w:rPr>
                <w:rFonts w:cs="Arial"/>
                <w:szCs w:val="24"/>
                <w:lang w:eastAsia="en-GB"/>
              </w:rPr>
              <w:t xml:space="preserve"> ensure there is a risk register in place from programme brief </w:t>
            </w:r>
            <w:r>
              <w:rPr>
                <w:rFonts w:cs="Arial"/>
                <w:szCs w:val="24"/>
                <w:lang w:eastAsia="en-GB"/>
              </w:rPr>
              <w:tab/>
            </w:r>
            <w:r w:rsidR="00470918">
              <w:rPr>
                <w:rFonts w:cs="Arial"/>
                <w:szCs w:val="24"/>
                <w:lang w:eastAsia="en-GB"/>
              </w:rPr>
              <w:t>onwards.</w:t>
            </w:r>
          </w:p>
          <w:p w:rsidR="00FD0255" w:rsidRDefault="00FD0255" w:rsidP="00470918">
            <w:pPr>
              <w:autoSpaceDE w:val="0"/>
              <w:autoSpaceDN w:val="0"/>
              <w:adjustRightInd w:val="0"/>
              <w:rPr>
                <w:rFonts w:cs="Arial"/>
                <w:szCs w:val="24"/>
                <w:lang w:eastAsia="en-GB"/>
              </w:rPr>
            </w:pPr>
          </w:p>
          <w:p w:rsidR="001B6A1C" w:rsidRDefault="00616237" w:rsidP="001B6A1C">
            <w:pPr>
              <w:autoSpaceDE w:val="0"/>
              <w:autoSpaceDN w:val="0"/>
              <w:adjustRightInd w:val="0"/>
              <w:rPr>
                <w:rFonts w:cs="Arial"/>
                <w:szCs w:val="24"/>
                <w:lang w:eastAsia="en-GB"/>
              </w:rPr>
            </w:pPr>
            <w:r>
              <w:rPr>
                <w:rFonts w:cs="Arial"/>
                <w:szCs w:val="24"/>
                <w:lang w:eastAsia="en-GB"/>
              </w:rPr>
              <w:t>13.3</w:t>
            </w:r>
            <w:r>
              <w:rPr>
                <w:rFonts w:cs="Arial"/>
                <w:szCs w:val="24"/>
                <w:lang w:eastAsia="en-GB"/>
              </w:rPr>
              <w:tab/>
            </w:r>
            <w:r w:rsidR="001B6A1C">
              <w:rPr>
                <w:rFonts w:cs="Arial"/>
                <w:szCs w:val="24"/>
                <w:lang w:eastAsia="en-GB"/>
              </w:rPr>
              <w:t>There will be particular emphasis on the fire safety integrity of</w:t>
            </w:r>
          </w:p>
          <w:p w:rsidR="00FD0255" w:rsidRDefault="00616237" w:rsidP="00470918">
            <w:pPr>
              <w:autoSpaceDE w:val="0"/>
              <w:autoSpaceDN w:val="0"/>
              <w:adjustRightInd w:val="0"/>
              <w:rPr>
                <w:rFonts w:cs="Arial"/>
                <w:szCs w:val="24"/>
                <w:lang w:eastAsia="en-GB"/>
              </w:rPr>
            </w:pPr>
            <w:r>
              <w:rPr>
                <w:rFonts w:cs="Arial"/>
                <w:szCs w:val="24"/>
                <w:lang w:eastAsia="en-GB"/>
              </w:rPr>
              <w:tab/>
            </w:r>
            <w:r w:rsidR="001B6A1C">
              <w:rPr>
                <w:rFonts w:cs="Arial"/>
                <w:szCs w:val="24"/>
                <w:lang w:eastAsia="en-GB"/>
              </w:rPr>
              <w:t xml:space="preserve">Resident’s individual dwelling doors. </w:t>
            </w:r>
            <w:r w:rsidR="00470918">
              <w:rPr>
                <w:rFonts w:cs="Arial"/>
                <w:szCs w:val="24"/>
                <w:lang w:eastAsia="en-GB"/>
              </w:rPr>
              <w:t xml:space="preserve">The Council will be seeking to </w:t>
            </w:r>
            <w:r>
              <w:rPr>
                <w:rFonts w:cs="Arial"/>
                <w:szCs w:val="24"/>
                <w:lang w:eastAsia="en-GB"/>
              </w:rPr>
              <w:tab/>
            </w:r>
            <w:r w:rsidR="00470918">
              <w:rPr>
                <w:rFonts w:cs="Arial"/>
                <w:szCs w:val="24"/>
                <w:lang w:eastAsia="en-GB"/>
              </w:rPr>
              <w:t>enforce</w:t>
            </w:r>
            <w:r w:rsidR="00FD0255">
              <w:rPr>
                <w:rFonts w:cs="Arial"/>
                <w:szCs w:val="24"/>
                <w:lang w:eastAsia="en-GB"/>
              </w:rPr>
              <w:t xml:space="preserve"> </w:t>
            </w:r>
            <w:r w:rsidR="00470918">
              <w:rPr>
                <w:rFonts w:cs="Arial"/>
                <w:szCs w:val="24"/>
                <w:lang w:eastAsia="en-GB"/>
              </w:rPr>
              <w:t>change where Leaseholder</w:t>
            </w:r>
            <w:r>
              <w:rPr>
                <w:rFonts w:cs="Arial"/>
                <w:szCs w:val="24"/>
                <w:lang w:eastAsia="en-GB"/>
              </w:rPr>
              <w:t>’</w:t>
            </w:r>
            <w:r w:rsidR="00470918">
              <w:rPr>
                <w:rFonts w:cs="Arial"/>
                <w:szCs w:val="24"/>
                <w:lang w:eastAsia="en-GB"/>
              </w:rPr>
              <w:t xml:space="preserve">s doors don’t meet current </w:t>
            </w:r>
            <w:r>
              <w:rPr>
                <w:rFonts w:cs="Arial"/>
                <w:szCs w:val="24"/>
                <w:lang w:eastAsia="en-GB"/>
              </w:rPr>
              <w:tab/>
            </w:r>
            <w:r w:rsidR="00470918">
              <w:rPr>
                <w:rFonts w:cs="Arial"/>
                <w:szCs w:val="24"/>
                <w:lang w:eastAsia="en-GB"/>
              </w:rPr>
              <w:t>standards unless they</w:t>
            </w:r>
            <w:r w:rsidR="00FD0255">
              <w:rPr>
                <w:rFonts w:cs="Arial"/>
                <w:szCs w:val="24"/>
                <w:lang w:eastAsia="en-GB"/>
              </w:rPr>
              <w:t xml:space="preserve"> </w:t>
            </w:r>
            <w:r w:rsidR="00470918">
              <w:rPr>
                <w:rFonts w:cs="Arial"/>
                <w:szCs w:val="24"/>
                <w:lang w:eastAsia="en-GB"/>
              </w:rPr>
              <w:t xml:space="preserve">are able to provide relevant fire safety </w:t>
            </w:r>
            <w:r>
              <w:rPr>
                <w:rFonts w:cs="Arial"/>
                <w:szCs w:val="24"/>
                <w:lang w:eastAsia="en-GB"/>
              </w:rPr>
              <w:tab/>
            </w:r>
            <w:r w:rsidR="00470918">
              <w:rPr>
                <w:rFonts w:cs="Arial"/>
                <w:szCs w:val="24"/>
                <w:lang w:eastAsia="en-GB"/>
              </w:rPr>
              <w:t xml:space="preserve">documentation. </w:t>
            </w:r>
          </w:p>
          <w:p w:rsidR="00FD0255" w:rsidRDefault="00FD0255" w:rsidP="00470918">
            <w:pPr>
              <w:autoSpaceDE w:val="0"/>
              <w:autoSpaceDN w:val="0"/>
              <w:adjustRightInd w:val="0"/>
              <w:rPr>
                <w:rFonts w:cs="Arial"/>
                <w:szCs w:val="24"/>
                <w:lang w:eastAsia="en-GB"/>
              </w:rPr>
            </w:pPr>
          </w:p>
          <w:p w:rsidR="00470918" w:rsidRDefault="00616237" w:rsidP="00470918">
            <w:pPr>
              <w:autoSpaceDE w:val="0"/>
              <w:autoSpaceDN w:val="0"/>
              <w:adjustRightInd w:val="0"/>
              <w:rPr>
                <w:rFonts w:cs="Arial"/>
                <w:szCs w:val="24"/>
                <w:lang w:eastAsia="en-GB"/>
              </w:rPr>
            </w:pPr>
            <w:r>
              <w:rPr>
                <w:rFonts w:cs="Arial"/>
                <w:szCs w:val="24"/>
                <w:lang w:eastAsia="en-GB"/>
              </w:rPr>
              <w:t>13.4</w:t>
            </w:r>
            <w:r>
              <w:rPr>
                <w:rFonts w:cs="Arial"/>
                <w:szCs w:val="24"/>
                <w:lang w:eastAsia="en-GB"/>
              </w:rPr>
              <w:tab/>
            </w:r>
            <w:r w:rsidR="00470918">
              <w:rPr>
                <w:rFonts w:cs="Arial"/>
                <w:szCs w:val="24"/>
                <w:lang w:eastAsia="en-GB"/>
              </w:rPr>
              <w:t>The risks relating to the delivery of this programme are included in the</w:t>
            </w:r>
          </w:p>
          <w:p w:rsidR="00470918" w:rsidRDefault="00616237" w:rsidP="00470918">
            <w:pPr>
              <w:autoSpaceDE w:val="0"/>
              <w:autoSpaceDN w:val="0"/>
              <w:adjustRightInd w:val="0"/>
              <w:rPr>
                <w:rFonts w:cs="Arial"/>
                <w:szCs w:val="24"/>
                <w:lang w:eastAsia="en-GB"/>
              </w:rPr>
            </w:pPr>
            <w:r>
              <w:rPr>
                <w:rFonts w:cs="Arial"/>
                <w:szCs w:val="24"/>
                <w:lang w:eastAsia="en-GB"/>
              </w:rPr>
              <w:tab/>
            </w:r>
            <w:r w:rsidR="00470918">
              <w:rPr>
                <w:rFonts w:cs="Arial"/>
                <w:szCs w:val="24"/>
                <w:lang w:eastAsia="en-GB"/>
              </w:rPr>
              <w:t xml:space="preserve">Housing Risk Register which contains overarching risks in relation to </w:t>
            </w:r>
            <w:r>
              <w:rPr>
                <w:rFonts w:cs="Arial"/>
                <w:szCs w:val="24"/>
                <w:lang w:eastAsia="en-GB"/>
              </w:rPr>
              <w:tab/>
            </w:r>
            <w:r w:rsidR="00470918">
              <w:rPr>
                <w:rFonts w:cs="Arial"/>
                <w:szCs w:val="24"/>
                <w:lang w:eastAsia="en-GB"/>
              </w:rPr>
              <w:t>delivery</w:t>
            </w:r>
            <w:r>
              <w:rPr>
                <w:rFonts w:cs="Arial"/>
                <w:szCs w:val="24"/>
                <w:lang w:eastAsia="en-GB"/>
              </w:rPr>
              <w:t xml:space="preserve"> </w:t>
            </w:r>
            <w:r w:rsidR="00470918">
              <w:rPr>
                <w:rFonts w:cs="Arial"/>
                <w:szCs w:val="24"/>
                <w:lang w:eastAsia="en-GB"/>
              </w:rPr>
              <w:t>of the Programme.</w:t>
            </w:r>
          </w:p>
          <w:p w:rsidR="00EA685F" w:rsidRDefault="00EA685F" w:rsidP="00470918">
            <w:pPr>
              <w:autoSpaceDE w:val="0"/>
              <w:autoSpaceDN w:val="0"/>
              <w:adjustRightInd w:val="0"/>
              <w:rPr>
                <w:rFonts w:cs="Arial"/>
                <w:szCs w:val="24"/>
                <w:lang w:eastAsia="en-GB"/>
              </w:rPr>
            </w:pPr>
          </w:p>
          <w:p w:rsidR="00A81E19" w:rsidRPr="00616237" w:rsidRDefault="00616237" w:rsidP="00470918">
            <w:pPr>
              <w:autoSpaceDE w:val="0"/>
              <w:autoSpaceDN w:val="0"/>
              <w:adjustRightInd w:val="0"/>
              <w:rPr>
                <w:rFonts w:cs="Arial"/>
                <w:szCs w:val="24"/>
                <w:lang w:eastAsia="en-GB"/>
              </w:rPr>
            </w:pPr>
            <w:r>
              <w:rPr>
                <w:rFonts w:cs="Arial"/>
                <w:szCs w:val="24"/>
                <w:lang w:eastAsia="en-GB"/>
              </w:rPr>
              <w:t>13.5</w:t>
            </w:r>
            <w:r>
              <w:rPr>
                <w:rFonts w:cs="Arial"/>
                <w:szCs w:val="24"/>
                <w:lang w:eastAsia="en-GB"/>
              </w:rPr>
              <w:tab/>
            </w:r>
            <w:r w:rsidR="00470918">
              <w:rPr>
                <w:rFonts w:cs="Arial"/>
                <w:szCs w:val="24"/>
                <w:lang w:eastAsia="en-GB"/>
              </w:rPr>
              <w:t xml:space="preserve">Specific risks will be monitored and managed on the project as it </w:t>
            </w:r>
            <w:r>
              <w:rPr>
                <w:rFonts w:cs="Arial"/>
                <w:szCs w:val="24"/>
                <w:lang w:eastAsia="en-GB"/>
              </w:rPr>
              <w:tab/>
            </w:r>
            <w:r w:rsidR="00470918">
              <w:rPr>
                <w:rFonts w:cs="Arial"/>
                <w:szCs w:val="24"/>
                <w:lang w:eastAsia="en-GB"/>
              </w:rPr>
              <w:t>moves</w:t>
            </w:r>
            <w:r>
              <w:rPr>
                <w:rFonts w:cs="Arial"/>
                <w:szCs w:val="24"/>
                <w:lang w:eastAsia="en-GB"/>
              </w:rPr>
              <w:t xml:space="preserve"> </w:t>
            </w:r>
            <w:r w:rsidR="00470918">
              <w:rPr>
                <w:rFonts w:cs="Arial"/>
                <w:szCs w:val="24"/>
                <w:lang w:eastAsia="en-GB"/>
              </w:rPr>
              <w:t>forward.</w:t>
            </w:r>
            <w:r w:rsidR="00A81E19" w:rsidRPr="008A738C">
              <w:t xml:space="preserve"> </w:t>
            </w:r>
            <w:r w:rsidR="00A81E19" w:rsidRPr="008A738C">
              <w:rPr>
                <w:rFonts w:ascii="Helvetica" w:hAnsi="Helvetica" w:cs="Helvetica"/>
                <w:szCs w:val="24"/>
                <w:lang w:eastAsia="en-GB"/>
              </w:rPr>
              <w:t xml:space="preserve">The aim of risk management is to identify business </w:t>
            </w:r>
            <w:r>
              <w:rPr>
                <w:rFonts w:ascii="Helvetica" w:hAnsi="Helvetica" w:cs="Helvetica"/>
                <w:szCs w:val="24"/>
                <w:lang w:eastAsia="en-GB"/>
              </w:rPr>
              <w:tab/>
            </w:r>
            <w:r w:rsidR="00A81E19" w:rsidRPr="008A738C">
              <w:rPr>
                <w:rFonts w:ascii="Helvetica" w:hAnsi="Helvetica" w:cs="Helvetica"/>
                <w:szCs w:val="24"/>
                <w:lang w:eastAsia="en-GB"/>
              </w:rPr>
              <w:t>risks and</w:t>
            </w:r>
            <w:r w:rsidR="00A81E19">
              <w:rPr>
                <w:rFonts w:ascii="Helvetica" w:hAnsi="Helvetica" w:cs="Helvetica"/>
                <w:szCs w:val="24"/>
                <w:lang w:eastAsia="en-GB"/>
              </w:rPr>
              <w:t xml:space="preserve"> </w:t>
            </w:r>
            <w:r w:rsidR="00A81E19" w:rsidRPr="008A738C">
              <w:rPr>
                <w:rFonts w:ascii="Helvetica" w:hAnsi="Helvetica" w:cs="Helvetica"/>
                <w:szCs w:val="24"/>
                <w:lang w:eastAsia="en-GB"/>
              </w:rPr>
              <w:t>effectively manage them</w:t>
            </w:r>
            <w:r w:rsidR="00A661F4">
              <w:rPr>
                <w:rFonts w:ascii="Helvetica" w:hAnsi="Helvetica" w:cs="Helvetica"/>
                <w:szCs w:val="24"/>
                <w:lang w:eastAsia="en-GB"/>
              </w:rPr>
              <w:t>.</w:t>
            </w:r>
          </w:p>
          <w:p w:rsidR="00FD0255" w:rsidRPr="00FD0255" w:rsidRDefault="00FD0255" w:rsidP="00470918">
            <w:pPr>
              <w:autoSpaceDE w:val="0"/>
              <w:autoSpaceDN w:val="0"/>
              <w:adjustRightInd w:val="0"/>
              <w:rPr>
                <w:rFonts w:ascii="Helvetica" w:hAnsi="Helvetica" w:cs="Helvetica"/>
                <w:b/>
                <w:szCs w:val="24"/>
                <w:lang w:eastAsia="en-GB"/>
              </w:rPr>
            </w:pPr>
          </w:p>
          <w:p w:rsidR="00FD0255" w:rsidRPr="00616237" w:rsidRDefault="00616237" w:rsidP="00470918">
            <w:pPr>
              <w:autoSpaceDE w:val="0"/>
              <w:autoSpaceDN w:val="0"/>
              <w:adjustRightInd w:val="0"/>
              <w:rPr>
                <w:rFonts w:cs="Arial"/>
                <w:szCs w:val="24"/>
                <w:lang w:eastAsia="en-GB"/>
              </w:rPr>
            </w:pPr>
            <w:r w:rsidRPr="00616237">
              <w:rPr>
                <w:rFonts w:cs="Arial"/>
                <w:szCs w:val="24"/>
                <w:lang w:eastAsia="en-GB"/>
              </w:rPr>
              <w:t>13.6</w:t>
            </w:r>
            <w:r>
              <w:rPr>
                <w:rFonts w:cs="Arial"/>
                <w:szCs w:val="24"/>
                <w:lang w:eastAsia="en-GB"/>
              </w:rPr>
              <w:tab/>
            </w:r>
            <w:r w:rsidR="00FD0255" w:rsidRPr="00616237">
              <w:rPr>
                <w:rFonts w:cs="Arial"/>
                <w:szCs w:val="24"/>
                <w:lang w:eastAsia="en-GB"/>
              </w:rPr>
              <w:t xml:space="preserve">This project is subject to multiple access requirements to each </w:t>
            </w:r>
            <w:r>
              <w:rPr>
                <w:rFonts w:cs="Arial"/>
                <w:szCs w:val="24"/>
                <w:lang w:eastAsia="en-GB"/>
              </w:rPr>
              <w:tab/>
            </w:r>
            <w:r w:rsidR="00FD0255" w:rsidRPr="00616237">
              <w:rPr>
                <w:rFonts w:cs="Arial"/>
                <w:szCs w:val="24"/>
                <w:lang w:eastAsia="en-GB"/>
              </w:rPr>
              <w:t xml:space="preserve">address. Lack of access co-operation would severely impact on project </w:t>
            </w:r>
            <w:r>
              <w:rPr>
                <w:rFonts w:cs="Arial"/>
                <w:szCs w:val="24"/>
                <w:lang w:eastAsia="en-GB"/>
              </w:rPr>
              <w:tab/>
            </w:r>
            <w:r w:rsidR="00FD0255" w:rsidRPr="00616237">
              <w:rPr>
                <w:rFonts w:cs="Arial"/>
                <w:szCs w:val="24"/>
                <w:lang w:eastAsia="en-GB"/>
              </w:rPr>
              <w:t xml:space="preserve">performance and programme delivery, delaying the safety </w:t>
            </w:r>
            <w:r>
              <w:rPr>
                <w:rFonts w:cs="Arial"/>
                <w:szCs w:val="24"/>
                <w:lang w:eastAsia="en-GB"/>
              </w:rPr>
              <w:tab/>
            </w:r>
            <w:r w:rsidR="00FD0255" w:rsidRPr="00616237">
              <w:rPr>
                <w:rFonts w:cs="Arial"/>
                <w:szCs w:val="24"/>
                <w:lang w:eastAsia="en-GB"/>
              </w:rPr>
              <w:t>improvement for our residents.</w:t>
            </w:r>
          </w:p>
          <w:p w:rsidR="00FD0255" w:rsidRDefault="00FD0255" w:rsidP="00470918">
            <w:pPr>
              <w:autoSpaceDE w:val="0"/>
              <w:autoSpaceDN w:val="0"/>
              <w:adjustRightInd w:val="0"/>
              <w:rPr>
                <w:rFonts w:ascii="Helvetica" w:hAnsi="Helvetica" w:cs="Helvetica"/>
                <w:b/>
                <w:szCs w:val="24"/>
                <w:lang w:eastAsia="en-GB"/>
              </w:rPr>
            </w:pPr>
          </w:p>
          <w:p w:rsidR="00FD0255" w:rsidRDefault="00616237" w:rsidP="00470918">
            <w:pPr>
              <w:autoSpaceDE w:val="0"/>
              <w:autoSpaceDN w:val="0"/>
              <w:adjustRightInd w:val="0"/>
              <w:rPr>
                <w:rFonts w:ascii="Helvetica" w:hAnsi="Helvetica" w:cs="Helvetica"/>
                <w:szCs w:val="24"/>
                <w:lang w:eastAsia="en-GB"/>
              </w:rPr>
            </w:pPr>
            <w:r>
              <w:rPr>
                <w:rFonts w:ascii="Helvetica" w:hAnsi="Helvetica" w:cs="Helvetica"/>
                <w:szCs w:val="24"/>
                <w:lang w:eastAsia="en-GB"/>
              </w:rPr>
              <w:t>13.6</w:t>
            </w:r>
            <w:r>
              <w:rPr>
                <w:rFonts w:ascii="Helvetica" w:hAnsi="Helvetica" w:cs="Helvetica"/>
                <w:szCs w:val="24"/>
                <w:lang w:eastAsia="en-GB"/>
              </w:rPr>
              <w:tab/>
            </w:r>
            <w:r w:rsidR="00FD0255">
              <w:rPr>
                <w:rFonts w:ascii="Helvetica" w:hAnsi="Helvetica" w:cs="Helvetica"/>
                <w:szCs w:val="24"/>
                <w:lang w:eastAsia="en-GB"/>
              </w:rPr>
              <w:t xml:space="preserve">We </w:t>
            </w:r>
            <w:r w:rsidR="00F22D52">
              <w:rPr>
                <w:rFonts w:ascii="Helvetica" w:hAnsi="Helvetica" w:cs="Helvetica"/>
                <w:szCs w:val="24"/>
                <w:lang w:eastAsia="en-GB"/>
              </w:rPr>
              <w:t>will continue to hold Resident C</w:t>
            </w:r>
            <w:r w:rsidR="00FD0255">
              <w:rPr>
                <w:rFonts w:ascii="Helvetica" w:hAnsi="Helvetica" w:cs="Helvetica"/>
                <w:szCs w:val="24"/>
                <w:lang w:eastAsia="en-GB"/>
              </w:rPr>
              <w:t xml:space="preserve">onsultation </w:t>
            </w:r>
            <w:r w:rsidR="00EA685F">
              <w:rPr>
                <w:rFonts w:ascii="Helvetica" w:hAnsi="Helvetica" w:cs="Helvetica"/>
                <w:szCs w:val="24"/>
                <w:lang w:eastAsia="en-GB"/>
              </w:rPr>
              <w:t xml:space="preserve">meetings </w:t>
            </w:r>
            <w:r w:rsidR="00FD0255">
              <w:rPr>
                <w:rFonts w:ascii="Helvetica" w:hAnsi="Helvetica" w:cs="Helvetica"/>
                <w:szCs w:val="24"/>
                <w:lang w:eastAsia="en-GB"/>
              </w:rPr>
              <w:t>to explain t</w:t>
            </w:r>
            <w:r>
              <w:rPr>
                <w:rFonts w:ascii="Helvetica" w:hAnsi="Helvetica" w:cs="Helvetica"/>
                <w:szCs w:val="24"/>
                <w:lang w:eastAsia="en-GB"/>
              </w:rPr>
              <w:t xml:space="preserve">he </w:t>
            </w:r>
            <w:r>
              <w:rPr>
                <w:rFonts w:ascii="Helvetica" w:hAnsi="Helvetica" w:cs="Helvetica"/>
                <w:szCs w:val="24"/>
                <w:lang w:eastAsia="en-GB"/>
              </w:rPr>
              <w:tab/>
              <w:t>necessity of these works. A full time site b</w:t>
            </w:r>
            <w:r w:rsidR="00FD0255">
              <w:rPr>
                <w:rFonts w:ascii="Helvetica" w:hAnsi="Helvetica" w:cs="Helvetica"/>
                <w:szCs w:val="24"/>
                <w:lang w:eastAsia="en-GB"/>
              </w:rPr>
              <w:t>ased R</w:t>
            </w:r>
            <w:r>
              <w:rPr>
                <w:rFonts w:ascii="Helvetica" w:hAnsi="Helvetica" w:cs="Helvetica"/>
                <w:szCs w:val="24"/>
                <w:lang w:eastAsia="en-GB"/>
              </w:rPr>
              <w:t xml:space="preserve">esident Liaison </w:t>
            </w:r>
            <w:r w:rsidR="00FD0255">
              <w:rPr>
                <w:rFonts w:ascii="Helvetica" w:hAnsi="Helvetica" w:cs="Helvetica"/>
                <w:szCs w:val="24"/>
                <w:lang w:eastAsia="en-GB"/>
              </w:rPr>
              <w:t>O</w:t>
            </w:r>
            <w:r>
              <w:rPr>
                <w:rFonts w:ascii="Helvetica" w:hAnsi="Helvetica" w:cs="Helvetica"/>
                <w:szCs w:val="24"/>
                <w:lang w:eastAsia="en-GB"/>
              </w:rPr>
              <w:t>fficer</w:t>
            </w:r>
            <w:r w:rsidR="00FD0255">
              <w:rPr>
                <w:rFonts w:ascii="Helvetica" w:hAnsi="Helvetica" w:cs="Helvetica"/>
                <w:szCs w:val="24"/>
                <w:lang w:eastAsia="en-GB"/>
              </w:rPr>
              <w:t xml:space="preserve"> </w:t>
            </w:r>
            <w:r>
              <w:rPr>
                <w:rFonts w:ascii="Helvetica" w:hAnsi="Helvetica" w:cs="Helvetica"/>
                <w:szCs w:val="24"/>
                <w:lang w:eastAsia="en-GB"/>
              </w:rPr>
              <w:tab/>
            </w:r>
            <w:r w:rsidR="00FD0255">
              <w:rPr>
                <w:rFonts w:ascii="Helvetica" w:hAnsi="Helvetica" w:cs="Helvetica"/>
                <w:szCs w:val="24"/>
                <w:lang w:eastAsia="en-GB"/>
              </w:rPr>
              <w:t>will be provided through the contract and will work collaboratively with</w:t>
            </w:r>
            <w:r w:rsidR="00F22D52">
              <w:rPr>
                <w:rFonts w:ascii="Helvetica" w:hAnsi="Helvetica" w:cs="Helvetica"/>
                <w:szCs w:val="24"/>
                <w:lang w:eastAsia="en-GB"/>
              </w:rPr>
              <w:t xml:space="preserve"> </w:t>
            </w:r>
            <w:r>
              <w:rPr>
                <w:rFonts w:ascii="Helvetica" w:hAnsi="Helvetica" w:cs="Helvetica"/>
                <w:szCs w:val="24"/>
                <w:lang w:eastAsia="en-GB"/>
              </w:rPr>
              <w:tab/>
            </w:r>
            <w:r w:rsidR="00F22D52">
              <w:rPr>
                <w:rFonts w:ascii="Helvetica" w:hAnsi="Helvetica" w:cs="Helvetica"/>
                <w:szCs w:val="24"/>
                <w:lang w:eastAsia="en-GB"/>
              </w:rPr>
              <w:t>our in-house Resident C</w:t>
            </w:r>
            <w:r w:rsidR="002D7CFB">
              <w:rPr>
                <w:rFonts w:ascii="Helvetica" w:hAnsi="Helvetica" w:cs="Helvetica"/>
                <w:szCs w:val="24"/>
                <w:lang w:eastAsia="en-GB"/>
              </w:rPr>
              <w:t>onsultation O</w:t>
            </w:r>
            <w:r w:rsidR="00FD0255">
              <w:rPr>
                <w:rFonts w:ascii="Helvetica" w:hAnsi="Helvetica" w:cs="Helvetica"/>
                <w:szCs w:val="24"/>
                <w:lang w:eastAsia="en-GB"/>
              </w:rPr>
              <w:t xml:space="preserve">fficers to mobilise awareness </w:t>
            </w:r>
            <w:r>
              <w:rPr>
                <w:rFonts w:ascii="Helvetica" w:hAnsi="Helvetica" w:cs="Helvetica"/>
                <w:szCs w:val="24"/>
                <w:lang w:eastAsia="en-GB"/>
              </w:rPr>
              <w:tab/>
            </w:r>
            <w:r w:rsidR="00FD0255">
              <w:rPr>
                <w:rFonts w:ascii="Helvetica" w:hAnsi="Helvetica" w:cs="Helvetica"/>
                <w:szCs w:val="24"/>
                <w:lang w:eastAsia="en-GB"/>
              </w:rPr>
              <w:t>amongst residents to encourage co-operation.</w:t>
            </w:r>
          </w:p>
          <w:p w:rsidR="00FD0255" w:rsidRDefault="00FD0255" w:rsidP="00470918">
            <w:pPr>
              <w:autoSpaceDE w:val="0"/>
              <w:autoSpaceDN w:val="0"/>
              <w:adjustRightInd w:val="0"/>
              <w:rPr>
                <w:rFonts w:ascii="Helvetica" w:hAnsi="Helvetica" w:cs="Helvetica"/>
                <w:szCs w:val="24"/>
                <w:lang w:eastAsia="en-GB"/>
              </w:rPr>
            </w:pPr>
          </w:p>
          <w:p w:rsidR="00FD0255" w:rsidRDefault="00616237" w:rsidP="00470918">
            <w:pPr>
              <w:autoSpaceDE w:val="0"/>
              <w:autoSpaceDN w:val="0"/>
              <w:adjustRightInd w:val="0"/>
              <w:rPr>
                <w:rFonts w:ascii="Helvetica" w:hAnsi="Helvetica" w:cs="Helvetica"/>
                <w:szCs w:val="24"/>
                <w:lang w:eastAsia="en-GB"/>
              </w:rPr>
            </w:pPr>
            <w:r>
              <w:rPr>
                <w:rFonts w:ascii="Helvetica" w:hAnsi="Helvetica" w:cs="Helvetica"/>
                <w:szCs w:val="24"/>
                <w:lang w:eastAsia="en-GB"/>
              </w:rPr>
              <w:t>13.7</w:t>
            </w:r>
            <w:r>
              <w:rPr>
                <w:rFonts w:ascii="Helvetica" w:hAnsi="Helvetica" w:cs="Helvetica"/>
                <w:szCs w:val="24"/>
                <w:lang w:eastAsia="en-GB"/>
              </w:rPr>
              <w:tab/>
            </w:r>
            <w:r w:rsidR="00FD0255">
              <w:rPr>
                <w:rFonts w:ascii="Helvetica" w:hAnsi="Helvetica" w:cs="Helvetica"/>
                <w:szCs w:val="24"/>
                <w:lang w:eastAsia="en-GB"/>
              </w:rPr>
              <w:t>Other risks to the success of this project are</w:t>
            </w:r>
            <w:r w:rsidR="00F22D52">
              <w:rPr>
                <w:rFonts w:ascii="Helvetica" w:hAnsi="Helvetica" w:cs="Helvetica"/>
                <w:szCs w:val="24"/>
                <w:lang w:eastAsia="en-GB"/>
              </w:rPr>
              <w:t>:-</w:t>
            </w:r>
            <w:r w:rsidR="00FD0255">
              <w:rPr>
                <w:rFonts w:ascii="Helvetica" w:hAnsi="Helvetica" w:cs="Helvetica"/>
                <w:szCs w:val="24"/>
                <w:lang w:eastAsia="en-GB"/>
              </w:rPr>
              <w:t xml:space="preserve"> </w:t>
            </w:r>
          </w:p>
          <w:p w:rsidR="005F004C" w:rsidRDefault="005F004C" w:rsidP="00616237">
            <w:pPr>
              <w:pStyle w:val="ListParagraph"/>
              <w:autoSpaceDE w:val="0"/>
              <w:autoSpaceDN w:val="0"/>
              <w:adjustRightInd w:val="0"/>
              <w:rPr>
                <w:rFonts w:ascii="Helvetica" w:hAnsi="Helvetica" w:cs="Helvetica"/>
                <w:szCs w:val="24"/>
                <w:lang w:eastAsia="en-GB"/>
              </w:rPr>
            </w:pPr>
          </w:p>
          <w:p w:rsidR="00FD0255" w:rsidRPr="00FD0255" w:rsidRDefault="00FD0255" w:rsidP="00616237">
            <w:pPr>
              <w:pStyle w:val="ListParagraph"/>
              <w:autoSpaceDE w:val="0"/>
              <w:autoSpaceDN w:val="0"/>
              <w:adjustRightInd w:val="0"/>
              <w:rPr>
                <w:rFonts w:ascii="Helvetica" w:hAnsi="Helvetica" w:cs="Helvetica"/>
                <w:szCs w:val="24"/>
                <w:lang w:eastAsia="en-GB"/>
              </w:rPr>
            </w:pPr>
            <w:r>
              <w:rPr>
                <w:rFonts w:ascii="Helvetica" w:hAnsi="Helvetica" w:cs="Helvetica"/>
                <w:szCs w:val="24"/>
                <w:lang w:eastAsia="en-GB"/>
              </w:rPr>
              <w:t>Procurement r</w:t>
            </w:r>
            <w:r w:rsidR="00F22D52">
              <w:rPr>
                <w:rFonts w:ascii="Helvetica" w:hAnsi="Helvetica" w:cs="Helvetica"/>
                <w:szCs w:val="24"/>
                <w:lang w:eastAsia="en-GB"/>
              </w:rPr>
              <w:t>isks</w:t>
            </w:r>
            <w:r>
              <w:rPr>
                <w:rFonts w:ascii="Helvetica" w:hAnsi="Helvetica" w:cs="Helvetica"/>
                <w:szCs w:val="24"/>
                <w:lang w:eastAsia="en-GB"/>
              </w:rPr>
              <w:t xml:space="preserve"> </w:t>
            </w:r>
          </w:p>
          <w:p w:rsidR="00A81E19" w:rsidRDefault="00616237" w:rsidP="00CF36AA">
            <w:pPr>
              <w:pStyle w:val="ListParagraph"/>
              <w:autoSpaceDE w:val="0"/>
              <w:autoSpaceDN w:val="0"/>
              <w:adjustRightInd w:val="0"/>
              <w:rPr>
                <w:lang w:eastAsia="en-GB"/>
              </w:rPr>
            </w:pPr>
            <w:r>
              <w:rPr>
                <w:rFonts w:ascii="Helvetica" w:hAnsi="Helvetica" w:cs="Helvetica"/>
                <w:b/>
                <w:szCs w:val="24"/>
                <w:lang w:eastAsia="en-GB"/>
              </w:rPr>
              <w:t xml:space="preserve">a). </w:t>
            </w:r>
            <w:r w:rsidR="00FD0255">
              <w:rPr>
                <w:rFonts w:ascii="Helvetica" w:hAnsi="Helvetica" w:cs="Helvetica"/>
                <w:b/>
                <w:szCs w:val="24"/>
                <w:lang w:eastAsia="en-GB"/>
              </w:rPr>
              <w:t xml:space="preserve">Market saturation – </w:t>
            </w:r>
            <w:r w:rsidR="00FD0255" w:rsidRPr="00FD0255">
              <w:rPr>
                <w:rFonts w:ascii="Helvetica" w:hAnsi="Helvetica" w:cs="Helvetica"/>
                <w:szCs w:val="24"/>
                <w:lang w:eastAsia="en-GB"/>
              </w:rPr>
              <w:t>following Grenfell</w:t>
            </w:r>
            <w:r w:rsidR="00F22D52">
              <w:rPr>
                <w:rFonts w:ascii="Helvetica" w:hAnsi="Helvetica" w:cs="Helvetica"/>
                <w:szCs w:val="24"/>
                <w:lang w:eastAsia="en-GB"/>
              </w:rPr>
              <w:t xml:space="preserve"> fire</w:t>
            </w:r>
            <w:r w:rsidR="00FD0255" w:rsidRPr="00FD0255">
              <w:rPr>
                <w:rFonts w:ascii="Helvetica" w:hAnsi="Helvetica" w:cs="Helvetica"/>
                <w:szCs w:val="24"/>
                <w:lang w:eastAsia="en-GB"/>
              </w:rPr>
              <w:t xml:space="preserve"> the UK is focussed on F</w:t>
            </w:r>
            <w:r w:rsidR="00F22D52">
              <w:rPr>
                <w:rFonts w:ascii="Helvetica" w:hAnsi="Helvetica" w:cs="Helvetica"/>
                <w:szCs w:val="24"/>
                <w:lang w:eastAsia="en-GB"/>
              </w:rPr>
              <w:t xml:space="preserve">ire </w:t>
            </w:r>
            <w:r w:rsidR="00FD0255" w:rsidRPr="00FD0255">
              <w:rPr>
                <w:rFonts w:ascii="Helvetica" w:hAnsi="Helvetica" w:cs="Helvetica"/>
                <w:szCs w:val="24"/>
                <w:lang w:eastAsia="en-GB"/>
              </w:rPr>
              <w:t>S</w:t>
            </w:r>
            <w:r w:rsidR="00F22D52">
              <w:rPr>
                <w:rFonts w:ascii="Helvetica" w:hAnsi="Helvetica" w:cs="Helvetica"/>
                <w:szCs w:val="24"/>
                <w:lang w:eastAsia="en-GB"/>
              </w:rPr>
              <w:t>afety</w:t>
            </w:r>
            <w:r w:rsidR="00FD0255" w:rsidRPr="00FD0255">
              <w:rPr>
                <w:rFonts w:ascii="Helvetica" w:hAnsi="Helvetica" w:cs="Helvetica"/>
                <w:szCs w:val="24"/>
                <w:lang w:eastAsia="en-GB"/>
              </w:rPr>
              <w:t xml:space="preserve"> compliance works on a national level, resulting in the possibility of fewer than required tenders. </w:t>
            </w:r>
          </w:p>
          <w:p w:rsidR="00E2455E" w:rsidRDefault="00E2455E" w:rsidP="005D548F">
            <w:pPr>
              <w:rPr>
                <w:lang w:eastAsia="en-GB"/>
              </w:rPr>
            </w:pPr>
          </w:p>
          <w:p w:rsidR="00E2455E" w:rsidRPr="008A738C" w:rsidRDefault="00616237" w:rsidP="005D548F">
            <w:pPr>
              <w:rPr>
                <w:lang w:eastAsia="en-GB"/>
              </w:rPr>
            </w:pPr>
            <w:r>
              <w:rPr>
                <w:b/>
                <w:lang w:eastAsia="en-GB"/>
              </w:rPr>
              <w:tab/>
              <w:t xml:space="preserve">b). </w:t>
            </w:r>
            <w:r w:rsidR="00E2455E" w:rsidRPr="00616237">
              <w:rPr>
                <w:b/>
                <w:lang w:eastAsia="en-GB"/>
              </w:rPr>
              <w:t xml:space="preserve">Project </w:t>
            </w:r>
            <w:r w:rsidR="00776927" w:rsidRPr="00616237">
              <w:rPr>
                <w:b/>
                <w:lang w:eastAsia="en-GB"/>
              </w:rPr>
              <w:t>commencement</w:t>
            </w:r>
            <w:r w:rsidR="00E2455E">
              <w:rPr>
                <w:lang w:eastAsia="en-GB"/>
              </w:rPr>
              <w:t xml:space="preserve"> – the above scenarios would add further </w:t>
            </w:r>
            <w:r>
              <w:rPr>
                <w:lang w:eastAsia="en-GB"/>
              </w:rPr>
              <w:tab/>
            </w:r>
            <w:r w:rsidR="00E2455E">
              <w:rPr>
                <w:lang w:eastAsia="en-GB"/>
              </w:rPr>
              <w:t xml:space="preserve">governance input, resulting in a delayed start on site, which could </w:t>
            </w:r>
            <w:r>
              <w:rPr>
                <w:lang w:eastAsia="en-GB"/>
              </w:rPr>
              <w:tab/>
            </w:r>
            <w:r w:rsidR="00E2455E">
              <w:rPr>
                <w:lang w:eastAsia="en-GB"/>
              </w:rPr>
              <w:t xml:space="preserve">cause a deferral in the next tranche being rolled out. If this were to </w:t>
            </w:r>
            <w:r>
              <w:rPr>
                <w:lang w:eastAsia="en-GB"/>
              </w:rPr>
              <w:tab/>
            </w:r>
            <w:r w:rsidR="00E2455E">
              <w:rPr>
                <w:lang w:eastAsia="en-GB"/>
              </w:rPr>
              <w:t xml:space="preserve">happen we would keep all relevant </w:t>
            </w:r>
            <w:r w:rsidR="002D7CFB">
              <w:rPr>
                <w:lang w:eastAsia="en-GB"/>
              </w:rPr>
              <w:t>O</w:t>
            </w:r>
            <w:r w:rsidR="0065376F">
              <w:rPr>
                <w:lang w:eastAsia="en-GB"/>
              </w:rPr>
              <w:t>fficers u</w:t>
            </w:r>
            <w:r w:rsidR="00E2455E">
              <w:rPr>
                <w:lang w:eastAsia="en-GB"/>
              </w:rPr>
              <w:t xml:space="preserve">pdated with the situation </w:t>
            </w:r>
            <w:r>
              <w:rPr>
                <w:lang w:eastAsia="en-GB"/>
              </w:rPr>
              <w:tab/>
            </w:r>
            <w:r w:rsidR="00E2455E">
              <w:rPr>
                <w:lang w:eastAsia="en-GB"/>
              </w:rPr>
              <w:t>and inform</w:t>
            </w:r>
            <w:r w:rsidR="00D2346D">
              <w:rPr>
                <w:lang w:eastAsia="en-GB"/>
              </w:rPr>
              <w:t>ed</w:t>
            </w:r>
            <w:r w:rsidR="00E2455E">
              <w:rPr>
                <w:lang w:eastAsia="en-GB"/>
              </w:rPr>
              <w:t xml:space="preserve"> of solutions.</w:t>
            </w:r>
          </w:p>
          <w:p w:rsidR="00A81E19" w:rsidRDefault="00A81E19" w:rsidP="005D548F">
            <w:pPr>
              <w:pStyle w:val="Heading4"/>
            </w:pPr>
          </w:p>
          <w:p w:rsidR="00307F76" w:rsidRPr="00307F76" w:rsidRDefault="00307F76"/>
        </w:tc>
      </w:tr>
    </w:tbl>
    <w:p w:rsidR="00A81E19" w:rsidRDefault="00A81E19" w:rsidP="00A81E19">
      <w:pPr>
        <w:ind w:right="141"/>
        <w:rPr>
          <w:rFonts w:cs="Arial"/>
          <w:szCs w:val="24"/>
          <w:lang w:val="en-US" w:eastAsia="en-GB"/>
        </w:rPr>
      </w:pPr>
    </w:p>
    <w:p w:rsidR="00AF3B23" w:rsidRPr="00AF3B23" w:rsidRDefault="00AF3B23" w:rsidP="00AF3B23"/>
    <w:p w:rsidR="00BB1785" w:rsidRDefault="00E72F3E" w:rsidP="007F1DA9">
      <w:pPr>
        <w:pStyle w:val="Heading2"/>
      </w:pPr>
      <w:r w:rsidRPr="007174EB">
        <w:rPr>
          <w:sz w:val="24"/>
        </w:rPr>
        <w:t xml:space="preserve">14. </w:t>
      </w:r>
      <w:r w:rsidR="002A3FEF" w:rsidRPr="007174EB">
        <w:rPr>
          <w:sz w:val="24"/>
        </w:rPr>
        <w:t xml:space="preserve">Procurement Implications </w:t>
      </w:r>
    </w:p>
    <w:p w:rsidR="00BB1785" w:rsidRPr="00BB1785" w:rsidRDefault="00BB1785" w:rsidP="00BB1785"/>
    <w:tbl>
      <w:tblPr>
        <w:tblStyle w:val="TableGrid"/>
        <w:tblW w:w="0" w:type="auto"/>
        <w:tblLook w:val="04A0" w:firstRow="1" w:lastRow="0" w:firstColumn="1" w:lastColumn="0" w:noHBand="0" w:noVBand="1"/>
      </w:tblPr>
      <w:tblGrid>
        <w:gridCol w:w="8525"/>
      </w:tblGrid>
      <w:tr w:rsidR="00BB1785" w:rsidTr="00BB1785">
        <w:tc>
          <w:tcPr>
            <w:tcW w:w="8525" w:type="dxa"/>
          </w:tcPr>
          <w:p w:rsidR="00BB1785" w:rsidRDefault="00BB1785" w:rsidP="00BB1785">
            <w:pPr>
              <w:autoSpaceDE w:val="0"/>
              <w:autoSpaceDN w:val="0"/>
              <w:adjustRightInd w:val="0"/>
              <w:rPr>
                <w:rFonts w:cs="Arial"/>
                <w:szCs w:val="24"/>
                <w:lang w:eastAsia="en-GB"/>
              </w:rPr>
            </w:pPr>
          </w:p>
          <w:p w:rsidR="00BB1785" w:rsidRDefault="00616237" w:rsidP="00BB1785">
            <w:pPr>
              <w:autoSpaceDE w:val="0"/>
              <w:autoSpaceDN w:val="0"/>
              <w:adjustRightInd w:val="0"/>
              <w:rPr>
                <w:rFonts w:cs="Arial"/>
                <w:szCs w:val="24"/>
                <w:lang w:eastAsia="en-GB"/>
              </w:rPr>
            </w:pPr>
            <w:r>
              <w:rPr>
                <w:rFonts w:cs="Arial"/>
                <w:szCs w:val="24"/>
                <w:lang w:eastAsia="en-GB"/>
              </w:rPr>
              <w:t>14.1</w:t>
            </w:r>
            <w:r>
              <w:rPr>
                <w:rFonts w:cs="Arial"/>
                <w:szCs w:val="24"/>
                <w:lang w:eastAsia="en-GB"/>
              </w:rPr>
              <w:tab/>
            </w:r>
            <w:r w:rsidR="00BB1785">
              <w:rPr>
                <w:rFonts w:cs="Arial"/>
                <w:szCs w:val="24"/>
                <w:lang w:eastAsia="en-GB"/>
              </w:rPr>
              <w:t xml:space="preserve">As set out in the Options considered section above, our preferred route </w:t>
            </w:r>
            <w:r>
              <w:rPr>
                <w:rFonts w:cs="Arial"/>
                <w:szCs w:val="24"/>
                <w:lang w:eastAsia="en-GB"/>
              </w:rPr>
              <w:tab/>
            </w:r>
            <w:r w:rsidR="00BB1785">
              <w:rPr>
                <w:rFonts w:cs="Arial"/>
                <w:szCs w:val="24"/>
                <w:lang w:eastAsia="en-GB"/>
              </w:rPr>
              <w:t>is</w:t>
            </w:r>
            <w:r>
              <w:rPr>
                <w:rFonts w:cs="Arial"/>
                <w:szCs w:val="24"/>
                <w:lang w:eastAsia="en-GB"/>
              </w:rPr>
              <w:t xml:space="preserve"> Option A as the Open T</w:t>
            </w:r>
            <w:r w:rsidR="00BB1785">
              <w:rPr>
                <w:rFonts w:cs="Arial"/>
                <w:szCs w:val="24"/>
                <w:lang w:eastAsia="en-GB"/>
              </w:rPr>
              <w:t>ender will invite competitive prices, provide</w:t>
            </w:r>
          </w:p>
          <w:p w:rsidR="00BB1785" w:rsidRDefault="00616237" w:rsidP="00BB1785">
            <w:pPr>
              <w:autoSpaceDE w:val="0"/>
              <w:autoSpaceDN w:val="0"/>
              <w:adjustRightInd w:val="0"/>
              <w:rPr>
                <w:rFonts w:cs="Arial"/>
                <w:szCs w:val="24"/>
                <w:lang w:eastAsia="en-GB"/>
              </w:rPr>
            </w:pPr>
            <w:r>
              <w:rPr>
                <w:rFonts w:cs="Arial"/>
                <w:szCs w:val="24"/>
                <w:lang w:eastAsia="en-GB"/>
              </w:rPr>
              <w:tab/>
            </w:r>
            <w:r w:rsidR="00BB1785">
              <w:rPr>
                <w:rFonts w:cs="Arial"/>
                <w:szCs w:val="24"/>
                <w:lang w:eastAsia="en-GB"/>
              </w:rPr>
              <w:t xml:space="preserve">a quick route to market (especially as there is an urgent need to carry </w:t>
            </w:r>
            <w:r>
              <w:rPr>
                <w:rFonts w:cs="Arial"/>
                <w:szCs w:val="24"/>
                <w:lang w:eastAsia="en-GB"/>
              </w:rPr>
              <w:tab/>
            </w:r>
            <w:r w:rsidR="00BB1785">
              <w:rPr>
                <w:rFonts w:cs="Arial"/>
                <w:szCs w:val="24"/>
                <w:lang w:eastAsia="en-GB"/>
              </w:rPr>
              <w:t>out</w:t>
            </w:r>
            <w:r>
              <w:rPr>
                <w:rFonts w:cs="Arial"/>
                <w:szCs w:val="24"/>
                <w:lang w:eastAsia="en-GB"/>
              </w:rPr>
              <w:t xml:space="preserve"> </w:t>
            </w:r>
            <w:r w:rsidR="00BB1785">
              <w:rPr>
                <w:rFonts w:cs="Arial"/>
                <w:szCs w:val="24"/>
                <w:lang w:eastAsia="en-GB"/>
              </w:rPr>
              <w:t xml:space="preserve">the compliance works) and enable the recovery of a proportion of </w:t>
            </w:r>
            <w:r>
              <w:rPr>
                <w:rFonts w:cs="Arial"/>
                <w:szCs w:val="24"/>
                <w:lang w:eastAsia="en-GB"/>
              </w:rPr>
              <w:tab/>
            </w:r>
            <w:r w:rsidR="00BB1785">
              <w:rPr>
                <w:rFonts w:cs="Arial"/>
                <w:szCs w:val="24"/>
                <w:lang w:eastAsia="en-GB"/>
              </w:rPr>
              <w:t>costs from</w:t>
            </w:r>
            <w:r>
              <w:rPr>
                <w:rFonts w:cs="Arial"/>
                <w:szCs w:val="24"/>
                <w:lang w:eastAsia="en-GB"/>
              </w:rPr>
              <w:t xml:space="preserve"> </w:t>
            </w:r>
            <w:r w:rsidR="002D7CFB">
              <w:rPr>
                <w:rFonts w:cs="Arial"/>
                <w:szCs w:val="24"/>
                <w:lang w:eastAsia="en-GB"/>
              </w:rPr>
              <w:t>the L</w:t>
            </w:r>
            <w:r w:rsidR="00BB1785">
              <w:rPr>
                <w:rFonts w:cs="Arial"/>
                <w:szCs w:val="24"/>
                <w:lang w:eastAsia="en-GB"/>
              </w:rPr>
              <w:t xml:space="preserve">easeholders under statutory Section 20 consultations. </w:t>
            </w:r>
          </w:p>
          <w:p w:rsidR="00BB1785" w:rsidRDefault="00BB1785" w:rsidP="00BB1785">
            <w:pPr>
              <w:autoSpaceDE w:val="0"/>
              <w:autoSpaceDN w:val="0"/>
              <w:adjustRightInd w:val="0"/>
              <w:rPr>
                <w:rFonts w:cs="Arial"/>
                <w:szCs w:val="24"/>
                <w:lang w:eastAsia="en-GB"/>
              </w:rPr>
            </w:pPr>
          </w:p>
          <w:p w:rsidR="00EA685F" w:rsidRDefault="00616237" w:rsidP="00BB1785">
            <w:pPr>
              <w:autoSpaceDE w:val="0"/>
              <w:autoSpaceDN w:val="0"/>
              <w:adjustRightInd w:val="0"/>
              <w:rPr>
                <w:rFonts w:cs="Arial"/>
                <w:szCs w:val="24"/>
                <w:lang w:eastAsia="en-GB"/>
              </w:rPr>
            </w:pPr>
            <w:r>
              <w:rPr>
                <w:rFonts w:cs="Arial"/>
                <w:szCs w:val="24"/>
                <w:lang w:eastAsia="en-GB"/>
              </w:rPr>
              <w:t>14.2</w:t>
            </w:r>
            <w:r>
              <w:rPr>
                <w:rFonts w:cs="Arial"/>
                <w:szCs w:val="24"/>
                <w:lang w:eastAsia="en-GB"/>
              </w:rPr>
              <w:tab/>
            </w:r>
            <w:r w:rsidR="00BB1785">
              <w:rPr>
                <w:rFonts w:cs="Arial"/>
                <w:szCs w:val="24"/>
                <w:lang w:eastAsia="en-GB"/>
              </w:rPr>
              <w:t xml:space="preserve">There are also economies of scale to be had in procuring a single </w:t>
            </w:r>
            <w:r>
              <w:rPr>
                <w:rFonts w:cs="Arial"/>
                <w:szCs w:val="24"/>
                <w:lang w:eastAsia="en-GB"/>
              </w:rPr>
              <w:tab/>
            </w:r>
            <w:r w:rsidR="00BB1785">
              <w:rPr>
                <w:rFonts w:cs="Arial"/>
                <w:szCs w:val="24"/>
                <w:lang w:eastAsia="en-GB"/>
              </w:rPr>
              <w:t>contract over two years</w:t>
            </w:r>
            <w:r w:rsidR="00EA685F">
              <w:rPr>
                <w:rFonts w:cs="Arial"/>
                <w:szCs w:val="24"/>
                <w:lang w:eastAsia="en-GB"/>
              </w:rPr>
              <w:t xml:space="preserve"> </w:t>
            </w:r>
            <w:r w:rsidR="00BB1785">
              <w:rPr>
                <w:rFonts w:cs="Arial"/>
                <w:szCs w:val="24"/>
                <w:lang w:eastAsia="en-GB"/>
              </w:rPr>
              <w:t xml:space="preserve">rather than two separate contracts. </w:t>
            </w:r>
            <w:r w:rsidR="0096134E">
              <w:rPr>
                <w:rFonts w:cs="Arial"/>
                <w:szCs w:val="24"/>
                <w:lang w:eastAsia="en-GB"/>
              </w:rPr>
              <w:t xml:space="preserve">The </w:t>
            </w:r>
            <w:r>
              <w:rPr>
                <w:rFonts w:cs="Arial"/>
                <w:szCs w:val="24"/>
                <w:lang w:eastAsia="en-GB"/>
              </w:rPr>
              <w:lastRenderedPageBreak/>
              <w:tab/>
            </w:r>
            <w:r w:rsidR="00BB1785">
              <w:rPr>
                <w:rFonts w:cs="Arial"/>
                <w:szCs w:val="24"/>
                <w:lang w:eastAsia="en-GB"/>
              </w:rPr>
              <w:t>evaluation criteria will be:</w:t>
            </w:r>
            <w:r w:rsidR="00B9717D">
              <w:rPr>
                <w:rFonts w:cs="Arial"/>
                <w:szCs w:val="24"/>
                <w:lang w:eastAsia="en-GB"/>
              </w:rPr>
              <w:t xml:space="preserve"> </w:t>
            </w:r>
            <w:r w:rsidR="00BB1785">
              <w:rPr>
                <w:rFonts w:cs="Arial"/>
                <w:szCs w:val="24"/>
                <w:lang w:eastAsia="en-GB"/>
              </w:rPr>
              <w:t xml:space="preserve">Price 60%, Quality 30%, </w:t>
            </w:r>
            <w:r w:rsidR="00B9717D">
              <w:rPr>
                <w:rFonts w:cs="Arial"/>
                <w:szCs w:val="24"/>
                <w:lang w:eastAsia="en-GB"/>
              </w:rPr>
              <w:t xml:space="preserve">and </w:t>
            </w:r>
            <w:r w:rsidR="00BB1785">
              <w:rPr>
                <w:rFonts w:cs="Arial"/>
                <w:szCs w:val="24"/>
                <w:lang w:eastAsia="en-GB"/>
              </w:rPr>
              <w:t xml:space="preserve">Social Value </w:t>
            </w:r>
            <w:r>
              <w:rPr>
                <w:rFonts w:cs="Arial"/>
                <w:szCs w:val="24"/>
                <w:lang w:eastAsia="en-GB"/>
              </w:rPr>
              <w:tab/>
            </w:r>
            <w:r w:rsidR="00BB1785">
              <w:rPr>
                <w:rFonts w:cs="Arial"/>
                <w:szCs w:val="24"/>
                <w:lang w:eastAsia="en-GB"/>
              </w:rPr>
              <w:t>10%</w:t>
            </w:r>
            <w:r>
              <w:rPr>
                <w:rFonts w:cs="Arial"/>
                <w:szCs w:val="24"/>
                <w:lang w:eastAsia="en-GB"/>
              </w:rPr>
              <w:t>.</w:t>
            </w:r>
            <w:r w:rsidR="00BB1785">
              <w:rPr>
                <w:rFonts w:cs="Arial"/>
                <w:szCs w:val="24"/>
                <w:lang w:eastAsia="en-GB"/>
              </w:rPr>
              <w:t xml:space="preserve"> </w:t>
            </w:r>
          </w:p>
          <w:p w:rsidR="00BB1785" w:rsidRPr="00BB1785" w:rsidRDefault="00BB1785" w:rsidP="00BB1785">
            <w:pPr>
              <w:autoSpaceDE w:val="0"/>
              <w:autoSpaceDN w:val="0"/>
              <w:adjustRightInd w:val="0"/>
              <w:rPr>
                <w:rFonts w:cs="Arial"/>
                <w:szCs w:val="24"/>
                <w:lang w:eastAsia="en-GB"/>
              </w:rPr>
            </w:pPr>
            <w:r>
              <w:rPr>
                <w:color w:val="FF0000"/>
              </w:rPr>
              <w:t xml:space="preserve"> </w:t>
            </w:r>
          </w:p>
        </w:tc>
      </w:tr>
    </w:tbl>
    <w:p w:rsidR="002A3FEF" w:rsidRPr="007174EB" w:rsidRDefault="002A3FEF" w:rsidP="00333FAA">
      <w:pPr>
        <w:pStyle w:val="Heading2"/>
        <w:rPr>
          <w:sz w:val="24"/>
        </w:rPr>
      </w:pPr>
    </w:p>
    <w:p w:rsidR="00333FAA" w:rsidRPr="007174EB" w:rsidRDefault="00E72F3E" w:rsidP="00333FAA">
      <w:pPr>
        <w:pStyle w:val="Heading2"/>
        <w:rPr>
          <w:sz w:val="24"/>
        </w:rPr>
      </w:pPr>
      <w:r w:rsidRPr="007174EB">
        <w:rPr>
          <w:sz w:val="24"/>
        </w:rPr>
        <w:t xml:space="preserve">15. </w:t>
      </w:r>
      <w:r w:rsidR="00333FAA" w:rsidRPr="007174EB">
        <w:rPr>
          <w:sz w:val="24"/>
        </w:rPr>
        <w:t>Legal Implications</w:t>
      </w:r>
    </w:p>
    <w:p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rsidTr="00421A4C">
        <w:tc>
          <w:tcPr>
            <w:tcW w:w="8525" w:type="dxa"/>
            <w:shd w:val="clear" w:color="auto" w:fill="auto"/>
          </w:tcPr>
          <w:p w:rsidR="00E72F3E" w:rsidRDefault="00E72F3E" w:rsidP="00E72F3E">
            <w:r>
              <w:t xml:space="preserve">15.1 </w:t>
            </w:r>
            <w:r w:rsidR="00616237">
              <w:tab/>
            </w:r>
            <w:r w:rsidRPr="00940BA8">
              <w:t xml:space="preserve">The value of these procurements is below the financial threshold </w:t>
            </w:r>
            <w:r w:rsidR="00616237">
              <w:tab/>
            </w:r>
            <w:r w:rsidRPr="00940BA8">
              <w:t xml:space="preserve">requiring a tender procedure that complies with the Public Contracts </w:t>
            </w:r>
            <w:r w:rsidR="00616237">
              <w:tab/>
            </w:r>
            <w:r w:rsidRPr="00940BA8">
              <w:t xml:space="preserve">Regulations 2015 so there is no requirement to advertise in OJEU or to </w:t>
            </w:r>
            <w:r w:rsidR="00616237">
              <w:tab/>
            </w:r>
            <w:r w:rsidRPr="00940BA8">
              <w:t>follow one of the prescribed procedures.</w:t>
            </w:r>
            <w:r>
              <w:t xml:space="preserve"> </w:t>
            </w:r>
          </w:p>
          <w:p w:rsidR="00E72F3E" w:rsidRPr="00F50AA9" w:rsidRDefault="00E72F3E" w:rsidP="00E72F3E">
            <w:pPr>
              <w:rPr>
                <w:highlight w:val="cyan"/>
              </w:rPr>
            </w:pPr>
          </w:p>
          <w:p w:rsidR="00E72F3E" w:rsidRDefault="00E72F3E" w:rsidP="00E72F3E">
            <w:r>
              <w:t xml:space="preserve">15.2 </w:t>
            </w:r>
            <w:r w:rsidR="00616237">
              <w:tab/>
            </w:r>
            <w:r w:rsidRPr="00940BA8">
              <w:t xml:space="preserve">The procurement will </w:t>
            </w:r>
            <w:r>
              <w:t xml:space="preserve">also </w:t>
            </w:r>
            <w:r w:rsidRPr="00940BA8">
              <w:t>comply with the Council</w:t>
            </w:r>
            <w:r>
              <w:t>’</w:t>
            </w:r>
            <w:r w:rsidRPr="00940BA8">
              <w:t xml:space="preserve">s Contract </w:t>
            </w:r>
            <w:r w:rsidR="00616237">
              <w:tab/>
            </w:r>
            <w:r w:rsidRPr="00940BA8">
              <w:t>Procedure Rule</w:t>
            </w:r>
            <w:r w:rsidRPr="003E4B10">
              <w:t>s</w:t>
            </w:r>
            <w:r>
              <w:t xml:space="preserve">, which required the Council to conduct a competitive </w:t>
            </w:r>
            <w:r w:rsidR="00616237">
              <w:tab/>
            </w:r>
            <w:r>
              <w:t>tender process.</w:t>
            </w:r>
          </w:p>
          <w:p w:rsidR="00E72F3E" w:rsidRDefault="00E72F3E" w:rsidP="00E72F3E"/>
          <w:p w:rsidR="00E72F3E" w:rsidRPr="00F5649A" w:rsidRDefault="00E72F3E" w:rsidP="00E72F3E">
            <w:r>
              <w:t xml:space="preserve">15.3 </w:t>
            </w:r>
            <w:r w:rsidR="00616237">
              <w:tab/>
            </w:r>
            <w:r w:rsidRPr="00940BA8">
              <w:t xml:space="preserve">The Council also has a statutory duty </w:t>
            </w:r>
            <w:r>
              <w:t xml:space="preserve">under </w:t>
            </w:r>
            <w:r w:rsidR="00D2346D" w:rsidRPr="00D2346D">
              <w:t xml:space="preserve">Section 20 of the Landlord </w:t>
            </w:r>
            <w:r w:rsidR="00AF3B23">
              <w:tab/>
            </w:r>
            <w:r w:rsidR="00D2346D" w:rsidRPr="00D2346D">
              <w:t xml:space="preserve">&amp; Tenant Act 1985 as amended by the </w:t>
            </w:r>
            <w:proofErr w:type="spellStart"/>
            <w:r w:rsidR="00D2346D" w:rsidRPr="00D2346D">
              <w:t>Commonhold</w:t>
            </w:r>
            <w:proofErr w:type="spellEnd"/>
            <w:r w:rsidR="00D2346D" w:rsidRPr="00D2346D">
              <w:t xml:space="preserve"> and Leasehold </w:t>
            </w:r>
            <w:r w:rsidR="00AF3B23">
              <w:tab/>
            </w:r>
            <w:r w:rsidR="00D2346D" w:rsidRPr="00D2346D">
              <w:t xml:space="preserve">Reform Act 2002 and the Service Charges (Consultation </w:t>
            </w:r>
            <w:r w:rsidR="00AF3B23">
              <w:tab/>
            </w:r>
            <w:r w:rsidR="00D2346D" w:rsidRPr="00D2346D">
              <w:t>Requirements) (England) Regulations 2003/1987</w:t>
            </w:r>
            <w:r w:rsidR="009F38A9" w:rsidRPr="00D2346D">
              <w:t>)</w:t>
            </w:r>
            <w:r w:rsidR="009F38A9">
              <w:t xml:space="preserve"> to</w:t>
            </w:r>
            <w:r w:rsidRPr="00940BA8">
              <w:t xml:space="preserve"> undertake a </w:t>
            </w:r>
            <w:r>
              <w:t>two</w:t>
            </w:r>
            <w:r w:rsidRPr="00940BA8">
              <w:t xml:space="preserve"> </w:t>
            </w:r>
            <w:r w:rsidR="00AF3B23">
              <w:tab/>
            </w:r>
            <w:r w:rsidRPr="00940BA8">
              <w:t xml:space="preserve">stage consultation with </w:t>
            </w:r>
            <w:r w:rsidR="002D7CFB">
              <w:t>L</w:t>
            </w:r>
            <w:r w:rsidRPr="00940BA8">
              <w:t xml:space="preserve">easeholders whose homes will be included on </w:t>
            </w:r>
            <w:r w:rsidR="00AF3B23">
              <w:tab/>
            </w:r>
            <w:r w:rsidRPr="00940BA8">
              <w:t xml:space="preserve">the programme and who will subsequently be charged a proportion of </w:t>
            </w:r>
            <w:r w:rsidR="00AF3B23">
              <w:tab/>
            </w:r>
            <w:r w:rsidRPr="00940BA8">
              <w:t xml:space="preserve">the costs incurred.  </w:t>
            </w:r>
            <w:r w:rsidR="00616237">
              <w:tab/>
            </w:r>
            <w:r w:rsidRPr="00940BA8">
              <w:t xml:space="preserve">Stage 1 </w:t>
            </w:r>
            <w:r>
              <w:t xml:space="preserve">Consultation will take place as soon as </w:t>
            </w:r>
            <w:r w:rsidR="00AF3B23">
              <w:tab/>
            </w:r>
            <w:r>
              <w:t>Cabinet approval is granted.</w:t>
            </w:r>
          </w:p>
          <w:p w:rsidR="00E72F3E" w:rsidRDefault="00E72F3E" w:rsidP="00E72F3E"/>
          <w:p w:rsidR="00E72F3E" w:rsidRPr="00F50AA9" w:rsidRDefault="00616237" w:rsidP="00E72F3E">
            <w:r>
              <w:t>15.4</w:t>
            </w:r>
            <w:r>
              <w:tab/>
            </w:r>
            <w:r w:rsidR="00E72F3E">
              <w:t>The form of contract will be JCT Intermediate</w:t>
            </w:r>
            <w:r w:rsidR="00AF3B23">
              <w:t xml:space="preserve"> Building Works</w:t>
            </w:r>
            <w:r w:rsidR="00E72F3E">
              <w:t xml:space="preserve"> and legal services will </w:t>
            </w:r>
            <w:r>
              <w:tab/>
            </w:r>
            <w:r w:rsidR="00E72F3E">
              <w:t>ensure that the contract is properly executed.</w:t>
            </w:r>
          </w:p>
          <w:p w:rsidR="00E72F3E" w:rsidRPr="00F50AA9" w:rsidRDefault="00E72F3E" w:rsidP="00E72F3E">
            <w:pPr>
              <w:pStyle w:val="Heading4"/>
            </w:pPr>
          </w:p>
          <w:p w:rsidR="0054590F" w:rsidRPr="00421A4C" w:rsidRDefault="0054590F" w:rsidP="0054590F">
            <w:pPr>
              <w:pStyle w:val="Heading4"/>
              <w:rPr>
                <w:color w:val="0000FF"/>
              </w:rPr>
            </w:pPr>
          </w:p>
          <w:p w:rsidR="00F5649A" w:rsidRPr="00F5649A" w:rsidRDefault="00F5649A" w:rsidP="003F3AFD">
            <w:pPr>
              <w:pStyle w:val="Heading4"/>
            </w:pPr>
          </w:p>
        </w:tc>
      </w:tr>
    </w:tbl>
    <w:p w:rsidR="0054590F" w:rsidRDefault="0054590F" w:rsidP="001C7E35">
      <w:pPr>
        <w:pStyle w:val="Heading4"/>
        <w:rPr>
          <w:b w:val="0"/>
        </w:rPr>
      </w:pPr>
    </w:p>
    <w:p w:rsidR="00333FAA" w:rsidRPr="007174EB" w:rsidRDefault="00E72F3E" w:rsidP="00333FAA">
      <w:pPr>
        <w:pStyle w:val="Heading2"/>
        <w:rPr>
          <w:sz w:val="24"/>
        </w:rPr>
      </w:pPr>
      <w:r w:rsidRPr="007174EB">
        <w:rPr>
          <w:sz w:val="24"/>
        </w:rPr>
        <w:t xml:space="preserve">16. </w:t>
      </w:r>
      <w:r w:rsidR="00333FAA" w:rsidRPr="007174EB">
        <w:rPr>
          <w:sz w:val="24"/>
        </w:rPr>
        <w:t>Financial Implications</w:t>
      </w:r>
    </w:p>
    <w:p w:rsidR="0054590F" w:rsidRDefault="0054590F" w:rsidP="001C7E35">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Tr="00421A4C">
        <w:tc>
          <w:tcPr>
            <w:tcW w:w="8525" w:type="dxa"/>
            <w:shd w:val="clear" w:color="auto" w:fill="auto"/>
          </w:tcPr>
          <w:p w:rsidR="00D14E13" w:rsidRDefault="00D14E13" w:rsidP="00D14E13">
            <w:pPr>
              <w:ind w:left="705"/>
              <w:rPr>
                <w:szCs w:val="24"/>
              </w:rPr>
            </w:pPr>
          </w:p>
          <w:p w:rsidR="00CF36AA" w:rsidRPr="00CF36AA" w:rsidRDefault="00616237" w:rsidP="00616237">
            <w:pPr>
              <w:autoSpaceDE w:val="0"/>
              <w:autoSpaceDN w:val="0"/>
            </w:pPr>
            <w:r>
              <w:t>16.1</w:t>
            </w:r>
            <w:r>
              <w:tab/>
            </w:r>
            <w:r w:rsidR="00CD6F57">
              <w:t>T</w:t>
            </w:r>
            <w:r w:rsidR="00D14E13">
              <w:t xml:space="preserve">he </w:t>
            </w:r>
            <w:r w:rsidR="00D14E13" w:rsidRPr="00CF36AA">
              <w:t>project will be funded entirely from HRA Capital resources</w:t>
            </w:r>
            <w:r w:rsidR="001004C8">
              <w:t xml:space="preserve"> </w:t>
            </w:r>
            <w:r w:rsidR="00D95AEA">
              <w:t xml:space="preserve">with no </w:t>
            </w:r>
            <w:r w:rsidR="009F38A9">
              <w:tab/>
            </w:r>
            <w:r w:rsidR="00D95AEA">
              <w:t>impact on General Fund and no requirement for additional borrowing.</w:t>
            </w:r>
            <w:r w:rsidR="00D14E13" w:rsidRPr="00CF36AA">
              <w:t xml:space="preserve"> </w:t>
            </w:r>
          </w:p>
          <w:p w:rsidR="00D14E13" w:rsidRDefault="00D14E13" w:rsidP="00D14E13">
            <w:pPr>
              <w:autoSpaceDE w:val="0"/>
              <w:autoSpaceDN w:val="0"/>
              <w:ind w:left="705"/>
            </w:pPr>
          </w:p>
          <w:p w:rsidR="001004C8" w:rsidRDefault="000412C8" w:rsidP="00F16A2C">
            <w:pPr>
              <w:autoSpaceDE w:val="0"/>
              <w:autoSpaceDN w:val="0"/>
            </w:pPr>
            <w:r>
              <w:t>16.2</w:t>
            </w:r>
            <w:r w:rsidR="00F16A2C">
              <w:tab/>
            </w:r>
            <w:r w:rsidR="00D14E13">
              <w:t xml:space="preserve">The programme will be contractually committed as </w:t>
            </w:r>
            <w:r w:rsidR="00CF36AA">
              <w:t xml:space="preserve">one </w:t>
            </w:r>
            <w:r w:rsidR="00D14E13">
              <w:t xml:space="preserve">contract </w:t>
            </w:r>
            <w:r w:rsidR="00D95AEA">
              <w:t>to</w:t>
            </w:r>
            <w:r w:rsidR="00F16A2C">
              <w:tab/>
            </w:r>
          </w:p>
          <w:p w:rsidR="00D14E13" w:rsidRDefault="009F38A9" w:rsidP="00F16A2C">
            <w:pPr>
              <w:autoSpaceDE w:val="0"/>
              <w:autoSpaceDN w:val="0"/>
            </w:pPr>
            <w:r>
              <w:tab/>
            </w:r>
            <w:r w:rsidR="00CF36AA">
              <w:t xml:space="preserve">one </w:t>
            </w:r>
            <w:r w:rsidR="00D14E13">
              <w:t xml:space="preserve">supplier </w:t>
            </w:r>
            <w:r w:rsidR="000412C8">
              <w:t xml:space="preserve">and expected to spend £800k 2020/21 with the remaining </w:t>
            </w:r>
            <w:r>
              <w:tab/>
            </w:r>
            <w:r w:rsidR="000412C8">
              <w:t xml:space="preserve">£1.6m in 2021/22 from HRA capital programme approved by Council </w:t>
            </w:r>
            <w:r>
              <w:tab/>
            </w:r>
            <w:r w:rsidR="000412C8">
              <w:t>13</w:t>
            </w:r>
            <w:r w:rsidR="000412C8" w:rsidRPr="000412C8">
              <w:rPr>
                <w:vertAlign w:val="superscript"/>
              </w:rPr>
              <w:t>th</w:t>
            </w:r>
            <w:r w:rsidR="000412C8">
              <w:t xml:space="preserve"> February 2020.</w:t>
            </w:r>
            <w:r w:rsidR="000412C8" w:rsidDel="00385796">
              <w:t xml:space="preserve"> </w:t>
            </w:r>
          </w:p>
          <w:p w:rsidR="00D14E13" w:rsidRDefault="00D14E13" w:rsidP="000412C8">
            <w:pPr>
              <w:autoSpaceDE w:val="0"/>
              <w:autoSpaceDN w:val="0"/>
            </w:pPr>
          </w:p>
          <w:p w:rsidR="001004C8" w:rsidRDefault="00D42FEF" w:rsidP="00F16A2C">
            <w:pPr>
              <w:autoSpaceDE w:val="0"/>
              <w:autoSpaceDN w:val="0"/>
            </w:pPr>
            <w:r>
              <w:t>16.3</w:t>
            </w:r>
            <w:r w:rsidR="00F16A2C">
              <w:tab/>
            </w:r>
            <w:r w:rsidR="00D14E13">
              <w:t>As the project is subject to St</w:t>
            </w:r>
            <w:r w:rsidR="00F16A2C">
              <w:t xml:space="preserve">atutory Section 20 procedures, </w:t>
            </w:r>
            <w:r w:rsidR="00F16A2C">
              <w:tab/>
            </w:r>
          </w:p>
          <w:p w:rsidR="00D14E13" w:rsidRDefault="009F38A9" w:rsidP="00F16A2C">
            <w:pPr>
              <w:autoSpaceDE w:val="0"/>
              <w:autoSpaceDN w:val="0"/>
            </w:pPr>
            <w:r>
              <w:tab/>
            </w:r>
            <w:r w:rsidR="00F16A2C">
              <w:t>L</w:t>
            </w:r>
            <w:r w:rsidR="00D14E13">
              <w:t>easeholders</w:t>
            </w:r>
            <w:r w:rsidR="00CF36AA">
              <w:t xml:space="preserve"> </w:t>
            </w:r>
            <w:r w:rsidR="00D14E13">
              <w:t xml:space="preserve">benefitting from the improvements will be </w:t>
            </w:r>
            <w:r w:rsidR="001004C8">
              <w:t xml:space="preserve">consulted prior </w:t>
            </w:r>
            <w:r>
              <w:tab/>
            </w:r>
            <w:r w:rsidR="00385796">
              <w:t xml:space="preserve">to commencement of works </w:t>
            </w:r>
            <w:r w:rsidR="001004C8">
              <w:t xml:space="preserve">in accordance with the statutory timescales </w:t>
            </w:r>
            <w:r>
              <w:tab/>
            </w:r>
            <w:r w:rsidR="00385796">
              <w:t xml:space="preserve">and </w:t>
            </w:r>
            <w:r w:rsidR="00D14E13">
              <w:t>billed for their</w:t>
            </w:r>
            <w:r w:rsidR="001004C8">
              <w:t xml:space="preserve"> </w:t>
            </w:r>
            <w:r w:rsidR="00D14E13">
              <w:t>share of cost</w:t>
            </w:r>
            <w:r w:rsidR="001004C8">
              <w:t>s</w:t>
            </w:r>
            <w:r w:rsidR="00D14E13">
              <w:t xml:space="preserve"> on completion of works.</w:t>
            </w:r>
          </w:p>
          <w:p w:rsidR="00D14E13" w:rsidRDefault="00D14E13" w:rsidP="00D14E13">
            <w:pPr>
              <w:ind w:left="705"/>
              <w:rPr>
                <w:color w:val="FF0000"/>
              </w:rPr>
            </w:pPr>
          </w:p>
          <w:p w:rsidR="00D14E13" w:rsidRDefault="00D14E13" w:rsidP="00D14E13">
            <w:pPr>
              <w:ind w:left="705"/>
              <w:rPr>
                <w:lang w:eastAsia="en-GB"/>
              </w:rPr>
            </w:pPr>
          </w:p>
          <w:p w:rsidR="0054590F" w:rsidRDefault="0054590F" w:rsidP="0054590F"/>
          <w:p w:rsidR="0054590F" w:rsidRDefault="0054590F" w:rsidP="007F1DA9">
            <w:pPr>
              <w:autoSpaceDE w:val="0"/>
              <w:autoSpaceDN w:val="0"/>
              <w:adjustRightInd w:val="0"/>
            </w:pPr>
          </w:p>
        </w:tc>
      </w:tr>
    </w:tbl>
    <w:p w:rsidR="0054590F" w:rsidRDefault="0054590F" w:rsidP="001C7E35"/>
    <w:p w:rsidR="001C7E35" w:rsidRDefault="001C7E35" w:rsidP="001C7E35">
      <w:pPr>
        <w:pStyle w:val="Heading2"/>
      </w:pPr>
    </w:p>
    <w:p w:rsidR="007174EB" w:rsidRPr="007174EB" w:rsidRDefault="007174EB" w:rsidP="007174EB"/>
    <w:p w:rsidR="00333FAA" w:rsidRPr="007174EB" w:rsidRDefault="00B60996" w:rsidP="00333FAA">
      <w:pPr>
        <w:pStyle w:val="Heading2"/>
        <w:keepNext/>
        <w:rPr>
          <w:color w:val="FF0000"/>
          <w:sz w:val="24"/>
        </w:rPr>
      </w:pPr>
      <w:r w:rsidRPr="007174EB">
        <w:rPr>
          <w:sz w:val="24"/>
        </w:rPr>
        <w:lastRenderedPageBreak/>
        <w:t xml:space="preserve">17. </w:t>
      </w:r>
      <w:r w:rsidR="00367E96" w:rsidRPr="007174EB">
        <w:rPr>
          <w:sz w:val="24"/>
        </w:rPr>
        <w:tab/>
      </w:r>
      <w:r w:rsidR="00333FAA" w:rsidRPr="007174EB">
        <w:rPr>
          <w:sz w:val="24"/>
        </w:rPr>
        <w:t>Equalities implications</w:t>
      </w:r>
      <w:r w:rsidR="001C7E35" w:rsidRPr="007174EB">
        <w:rPr>
          <w:sz w:val="24"/>
        </w:rPr>
        <w:t xml:space="preserve"> </w:t>
      </w:r>
      <w:r w:rsidR="00333FAA" w:rsidRPr="007174EB">
        <w:rPr>
          <w:sz w:val="24"/>
        </w:rPr>
        <w:t>/</w:t>
      </w:r>
      <w:r w:rsidR="001C7E35" w:rsidRPr="007174EB">
        <w:rPr>
          <w:sz w:val="24"/>
        </w:rPr>
        <w:t xml:space="preserve"> </w:t>
      </w:r>
      <w:r w:rsidR="00333FAA" w:rsidRPr="007174EB">
        <w:rPr>
          <w:sz w:val="24"/>
        </w:rPr>
        <w:t>Public Sector Equality Duty</w:t>
      </w:r>
    </w:p>
    <w:p w:rsidR="0054590F" w:rsidRDefault="0054590F" w:rsidP="001966D7"/>
    <w:p w:rsidR="00B60996" w:rsidRPr="00F50AA9" w:rsidRDefault="00B60996" w:rsidP="00B60996">
      <w:pPr>
        <w:ind w:left="720" w:hanging="720"/>
      </w:pPr>
      <w:r w:rsidRPr="00F50AA9">
        <w:t>1</w:t>
      </w:r>
      <w:r>
        <w:t>7</w:t>
      </w:r>
      <w:r w:rsidRPr="00F50AA9">
        <w:t xml:space="preserve">.1 </w:t>
      </w:r>
      <w:r>
        <w:tab/>
      </w:r>
      <w:r w:rsidRPr="00F50AA9">
        <w:t>The procurement exercise is designed to deliver existing policies and strategies maintaining the current level of equality in service provision. The project will be very clear on the equalities related duties on contractors, given the wide range of needs of our customers.</w:t>
      </w:r>
      <w:r w:rsidRPr="00F50AA9">
        <w:br/>
      </w:r>
    </w:p>
    <w:p w:rsidR="00B60996" w:rsidRPr="00F50AA9" w:rsidRDefault="00B60996" w:rsidP="00B60996">
      <w:pPr>
        <w:ind w:left="720" w:hanging="720"/>
      </w:pPr>
      <w:r w:rsidRPr="00F50AA9">
        <w:t>1</w:t>
      </w:r>
      <w:r>
        <w:t>7</w:t>
      </w:r>
      <w:r w:rsidRPr="00F50AA9">
        <w:t xml:space="preserve">.2 </w:t>
      </w:r>
      <w:r>
        <w:tab/>
      </w:r>
      <w:r w:rsidRPr="00F50AA9">
        <w:t>An initial Equality Impact Assessment has been prepared for the delivery of the overall Housing Capital Programme. This identified no need for a full assessment at this stage because it did not identify any potential for unlawful conduct or disproportionate impact. All opportunities to address diversity, particularly vul</w:t>
      </w:r>
      <w:r w:rsidR="00367E96">
        <w:t>nerability for all Tenants and L</w:t>
      </w:r>
      <w:r w:rsidRPr="00F50AA9">
        <w:t xml:space="preserve">easeholders will be addressed through the contract specification and ensure residents receive the same service regardless of, but taking into account specific needs. We will address these in our tendering documents and processes. The assessment will be updated as the project moves forward. </w:t>
      </w:r>
    </w:p>
    <w:p w:rsidR="0054590F" w:rsidRDefault="0054590F" w:rsidP="001966D7">
      <w:pPr>
        <w:rPr>
          <w:i/>
          <w:color w:val="0000FF"/>
        </w:rPr>
      </w:pPr>
    </w:p>
    <w:p w:rsidR="009F38A9" w:rsidRPr="00A20113" w:rsidRDefault="009F38A9" w:rsidP="001966D7">
      <w:pPr>
        <w:rPr>
          <w:i/>
          <w:color w:val="0000FF"/>
        </w:rPr>
      </w:pPr>
    </w:p>
    <w:p w:rsidR="00333FAA" w:rsidRPr="007174EB" w:rsidRDefault="00B60996" w:rsidP="00333FAA">
      <w:pPr>
        <w:rPr>
          <w:b/>
          <w:szCs w:val="28"/>
        </w:rPr>
      </w:pPr>
      <w:r w:rsidRPr="007174EB">
        <w:rPr>
          <w:b/>
          <w:szCs w:val="28"/>
        </w:rPr>
        <w:t>18.</w:t>
      </w:r>
      <w:r w:rsidR="00555B55" w:rsidRPr="007174EB">
        <w:rPr>
          <w:b/>
          <w:szCs w:val="28"/>
        </w:rPr>
        <w:tab/>
      </w:r>
      <w:r w:rsidR="00333FAA" w:rsidRPr="007174EB">
        <w:rPr>
          <w:b/>
          <w:szCs w:val="28"/>
        </w:rPr>
        <w:t>Council Priorities</w:t>
      </w:r>
    </w:p>
    <w:p w:rsidR="00776927" w:rsidRDefault="00776927" w:rsidP="00333FAA">
      <w:pPr>
        <w:rPr>
          <w:b/>
          <w:sz w:val="28"/>
          <w:szCs w:val="28"/>
        </w:rPr>
      </w:pPr>
    </w:p>
    <w:p w:rsidR="00776927" w:rsidRDefault="00367E96" w:rsidP="00367E96">
      <w:pPr>
        <w:ind w:left="720" w:hanging="720"/>
        <w:rPr>
          <w:rFonts w:cs="Arial"/>
          <w:szCs w:val="24"/>
          <w:lang w:val="en-US"/>
        </w:rPr>
      </w:pPr>
      <w:r>
        <w:rPr>
          <w:rFonts w:cs="Arial"/>
          <w:szCs w:val="24"/>
        </w:rPr>
        <w:t>18.1</w:t>
      </w:r>
      <w:r>
        <w:rPr>
          <w:rFonts w:cs="Arial"/>
          <w:szCs w:val="24"/>
        </w:rPr>
        <w:tab/>
      </w:r>
      <w:r w:rsidR="00776927">
        <w:rPr>
          <w:rFonts w:cs="Arial"/>
          <w:szCs w:val="24"/>
        </w:rPr>
        <w:t xml:space="preserve">Below </w:t>
      </w:r>
      <w:r w:rsidR="00776927">
        <w:rPr>
          <w:rFonts w:cs="Arial"/>
          <w:szCs w:val="24"/>
          <w:lang w:val="en-US"/>
        </w:rPr>
        <w:t>we have identified how the decision sought will deliver on some of the</w:t>
      </w:r>
      <w:r w:rsidR="00425D70">
        <w:rPr>
          <w:rFonts w:cs="Arial"/>
          <w:szCs w:val="24"/>
          <w:lang w:val="en-US"/>
        </w:rPr>
        <w:t xml:space="preserve"> </w:t>
      </w:r>
      <w:r w:rsidR="00776927">
        <w:rPr>
          <w:rFonts w:cs="Arial"/>
          <w:szCs w:val="24"/>
          <w:lang w:val="en-US"/>
        </w:rPr>
        <w:t xml:space="preserve">Council’s priorities:- </w:t>
      </w:r>
    </w:p>
    <w:p w:rsidR="00776927" w:rsidRDefault="00776927" w:rsidP="00776927">
      <w:pPr>
        <w:autoSpaceDE w:val="0"/>
        <w:autoSpaceDN w:val="0"/>
        <w:rPr>
          <w:b/>
          <w:bCs/>
        </w:rPr>
      </w:pPr>
    </w:p>
    <w:p w:rsidR="00AF3B23" w:rsidRDefault="00AF3B23" w:rsidP="00776927">
      <w:pPr>
        <w:autoSpaceDE w:val="0"/>
        <w:autoSpaceDN w:val="0"/>
        <w:rPr>
          <w:b/>
          <w:bCs/>
        </w:rPr>
      </w:pPr>
    </w:p>
    <w:p w:rsidR="00776927" w:rsidRDefault="00367E96" w:rsidP="00367E96">
      <w:pPr>
        <w:autoSpaceDE w:val="0"/>
        <w:autoSpaceDN w:val="0"/>
        <w:rPr>
          <w:b/>
          <w:bCs/>
        </w:rPr>
      </w:pPr>
      <w:r>
        <w:rPr>
          <w:b/>
          <w:bCs/>
        </w:rPr>
        <w:t xml:space="preserve"> </w:t>
      </w:r>
      <w:r>
        <w:rPr>
          <w:b/>
          <w:bCs/>
        </w:rPr>
        <w:tab/>
        <w:t xml:space="preserve">a). </w:t>
      </w:r>
      <w:r w:rsidR="00776927">
        <w:rPr>
          <w:b/>
          <w:bCs/>
        </w:rPr>
        <w:t>Building a Better Harrow</w:t>
      </w:r>
    </w:p>
    <w:p w:rsidR="00776927" w:rsidRDefault="00776927" w:rsidP="00776927">
      <w:pPr>
        <w:autoSpaceDE w:val="0"/>
        <w:autoSpaceDN w:val="0"/>
        <w:rPr>
          <w:b/>
          <w:bCs/>
        </w:rPr>
      </w:pPr>
    </w:p>
    <w:p w:rsidR="00776927" w:rsidRDefault="00776927" w:rsidP="00425D70">
      <w:pPr>
        <w:ind w:left="720"/>
      </w:pPr>
      <w:r>
        <w:t xml:space="preserve">Specifications for all contracts will ensure that the successful contractor is equipped to provide a high level of customer service to all our residents. In addition every effort will be made to ensure that local businesses are encouraged to submit tenders and that added social value to support communities will be a part of the evaluation process.  </w:t>
      </w:r>
    </w:p>
    <w:p w:rsidR="00776927" w:rsidRDefault="00776927" w:rsidP="00776927"/>
    <w:p w:rsidR="00776927" w:rsidRDefault="00367E96" w:rsidP="00425D70">
      <w:pPr>
        <w:autoSpaceDE w:val="0"/>
        <w:autoSpaceDN w:val="0"/>
        <w:ind w:firstLine="720"/>
        <w:rPr>
          <w:b/>
          <w:bCs/>
        </w:rPr>
      </w:pPr>
      <w:r>
        <w:rPr>
          <w:b/>
          <w:bCs/>
        </w:rPr>
        <w:t xml:space="preserve">b). </w:t>
      </w:r>
      <w:r w:rsidR="00776927">
        <w:rPr>
          <w:b/>
          <w:bCs/>
        </w:rPr>
        <w:t>Supporting Those Most in Need</w:t>
      </w:r>
    </w:p>
    <w:p w:rsidR="00776927" w:rsidRDefault="00776927" w:rsidP="00776927">
      <w:pPr>
        <w:ind w:left="360"/>
      </w:pPr>
      <w:r>
        <w:rPr>
          <w:szCs w:val="24"/>
        </w:rPr>
        <w:t xml:space="preserve"> </w:t>
      </w:r>
    </w:p>
    <w:p w:rsidR="00776927" w:rsidRDefault="00776927" w:rsidP="00425D70">
      <w:pPr>
        <w:ind w:left="720"/>
      </w:pPr>
      <w:r>
        <w:t>Projects on the Housing Capital Programme are pro</w:t>
      </w:r>
      <w:r w:rsidR="002D7CFB">
        <w:t>vided to some of the Council’s Tenants and L</w:t>
      </w:r>
      <w:r>
        <w:t>easeholders –many of whom are vulnerable. All are targeted to improve the quality of the housing stock an</w:t>
      </w:r>
      <w:r w:rsidR="002D7CFB">
        <w:t>d the environment in which our T</w:t>
      </w:r>
      <w:r>
        <w:t>enants live</w:t>
      </w:r>
      <w:r w:rsidR="00D14E13">
        <w:t>.</w:t>
      </w:r>
    </w:p>
    <w:p w:rsidR="00776927" w:rsidRDefault="00776927" w:rsidP="00776927"/>
    <w:p w:rsidR="00776927" w:rsidRDefault="00776927" w:rsidP="00425D70">
      <w:pPr>
        <w:ind w:left="720"/>
      </w:pPr>
      <w:r>
        <w:t>We will also adapt the safety systems</w:t>
      </w:r>
      <w:r w:rsidR="00D14E13">
        <w:t xml:space="preserve"> to be</w:t>
      </w:r>
      <w:r>
        <w:t xml:space="preserve"> installed where possible for residents </w:t>
      </w:r>
      <w:r w:rsidR="00D14E13">
        <w:t>with</w:t>
      </w:r>
      <w:r>
        <w:t xml:space="preserve"> specific needs (</w:t>
      </w:r>
      <w:r w:rsidR="00D14E13">
        <w:t>i.e.</w:t>
      </w:r>
      <w:r>
        <w:t xml:space="preserve"> visual and sensory solutions on door ent</w:t>
      </w:r>
      <w:r w:rsidR="00D14E13">
        <w:t xml:space="preserve">ry/ Alarm Detection systems for the </w:t>
      </w:r>
      <w:r>
        <w:t>deaf and hard of hearing).</w:t>
      </w:r>
      <w:r w:rsidRPr="00776927">
        <w:t xml:space="preserve"> </w:t>
      </w:r>
      <w:r>
        <w:t xml:space="preserve">For visually impaired, the product already </w:t>
      </w:r>
      <w:r w:rsidR="00D14E13">
        <w:t>is inclusive and addresses</w:t>
      </w:r>
      <w:r>
        <w:t xml:space="preserve"> t</w:t>
      </w:r>
      <w:r w:rsidR="00D14E13">
        <w:t xml:space="preserve">he need with flashing lights and </w:t>
      </w:r>
      <w:r w:rsidR="001E600F">
        <w:t>braille</w:t>
      </w:r>
      <w:r w:rsidR="00D14E13">
        <w:t xml:space="preserve"> on the control panel</w:t>
      </w:r>
      <w:r>
        <w:t xml:space="preserve">.  </w:t>
      </w:r>
    </w:p>
    <w:p w:rsidR="00333FAA" w:rsidRDefault="00333FAA" w:rsidP="00333FAA"/>
    <w:p w:rsidR="00D07F46" w:rsidRDefault="00367E96" w:rsidP="00425D70">
      <w:pPr>
        <w:autoSpaceDE w:val="0"/>
        <w:autoSpaceDN w:val="0"/>
        <w:ind w:firstLine="720"/>
        <w:contextualSpacing/>
        <w:rPr>
          <w:b/>
        </w:rPr>
      </w:pPr>
      <w:r>
        <w:rPr>
          <w:b/>
        </w:rPr>
        <w:t xml:space="preserve">c). </w:t>
      </w:r>
      <w:r w:rsidR="00D07F46" w:rsidRPr="00B60996">
        <w:rPr>
          <w:b/>
        </w:rPr>
        <w:t xml:space="preserve">Delivering a Strong </w:t>
      </w:r>
      <w:r w:rsidR="00D07F46" w:rsidRPr="00B60996">
        <w:rPr>
          <w:b/>
          <w:bCs/>
        </w:rPr>
        <w:t>local</w:t>
      </w:r>
      <w:r w:rsidR="00D07F46" w:rsidRPr="00B60996">
        <w:rPr>
          <w:b/>
        </w:rPr>
        <w:t xml:space="preserve"> Economy for All</w:t>
      </w:r>
    </w:p>
    <w:p w:rsidR="00367E96" w:rsidRPr="00B60996" w:rsidRDefault="00367E96" w:rsidP="00425D70">
      <w:pPr>
        <w:autoSpaceDE w:val="0"/>
        <w:autoSpaceDN w:val="0"/>
        <w:ind w:firstLine="720"/>
        <w:contextualSpacing/>
        <w:rPr>
          <w:b/>
        </w:rPr>
      </w:pPr>
    </w:p>
    <w:p w:rsidR="00D07F46" w:rsidRDefault="00367E96" w:rsidP="00425D70">
      <w:pPr>
        <w:autoSpaceDE w:val="0"/>
        <w:autoSpaceDN w:val="0"/>
        <w:ind w:left="720"/>
        <w:contextualSpacing/>
      </w:pPr>
      <w:r>
        <w:t>Under Social V</w:t>
      </w:r>
      <w:r w:rsidR="00776927" w:rsidRPr="00CF36AA">
        <w:t xml:space="preserve">alue requirement local resourcing of labour and material that may </w:t>
      </w:r>
      <w:r w:rsidR="00CF36AA" w:rsidRPr="00CF36AA">
        <w:t>bring more supply chain send into the Borough.</w:t>
      </w:r>
    </w:p>
    <w:p w:rsidR="007F1DA9" w:rsidRPr="00CF36AA" w:rsidRDefault="007F1DA9" w:rsidP="00425D70">
      <w:pPr>
        <w:autoSpaceDE w:val="0"/>
        <w:autoSpaceDN w:val="0"/>
        <w:ind w:left="720"/>
        <w:contextualSpacing/>
      </w:pPr>
    </w:p>
    <w:p w:rsidR="00CF36AA" w:rsidRDefault="00CF36AA" w:rsidP="00D07F46">
      <w:pPr>
        <w:autoSpaceDE w:val="0"/>
        <w:autoSpaceDN w:val="0"/>
        <w:contextualSpacing/>
      </w:pPr>
    </w:p>
    <w:p w:rsidR="007F1DA9" w:rsidRDefault="007F1DA9" w:rsidP="00D07F46">
      <w:pPr>
        <w:autoSpaceDE w:val="0"/>
        <w:autoSpaceDN w:val="0"/>
        <w:contextualSpacing/>
      </w:pPr>
    </w:p>
    <w:p w:rsidR="00D07F46" w:rsidRDefault="00367E96" w:rsidP="00425D70">
      <w:pPr>
        <w:pStyle w:val="ListParagraph"/>
        <w:autoSpaceDE w:val="0"/>
        <w:autoSpaceDN w:val="0"/>
        <w:contextualSpacing/>
        <w:rPr>
          <w:b/>
          <w:bCs/>
        </w:rPr>
      </w:pPr>
      <w:r>
        <w:rPr>
          <w:b/>
        </w:rPr>
        <w:lastRenderedPageBreak/>
        <w:t xml:space="preserve">d). </w:t>
      </w:r>
      <w:r w:rsidR="00D07F46" w:rsidRPr="000720F8">
        <w:rPr>
          <w:b/>
        </w:rPr>
        <w:t>Modernising</w:t>
      </w:r>
      <w:r w:rsidR="00D07F46">
        <w:rPr>
          <w:b/>
          <w:bCs/>
        </w:rPr>
        <w:t xml:space="preserve"> Harrow Council</w:t>
      </w:r>
    </w:p>
    <w:p w:rsidR="00425D70" w:rsidRDefault="00425D70" w:rsidP="00425D70">
      <w:pPr>
        <w:pStyle w:val="ListParagraph"/>
        <w:autoSpaceDE w:val="0"/>
        <w:autoSpaceDN w:val="0"/>
        <w:contextualSpacing/>
        <w:rPr>
          <w:b/>
          <w:bCs/>
        </w:rPr>
      </w:pPr>
    </w:p>
    <w:p w:rsidR="00776927" w:rsidRDefault="00776927" w:rsidP="00425D70">
      <w:pPr>
        <w:ind w:left="720"/>
      </w:pPr>
      <w:r>
        <w:t xml:space="preserve">Moving to a cloud operated emergency lighting, door entry and alarm detection systems enables earlier remote notification of defaults (maintaining a </w:t>
      </w:r>
      <w:r w:rsidR="008E1432">
        <w:t>higher</w:t>
      </w:r>
      <w:r>
        <w:t xml:space="preserve"> level of safety for our residents), so that they can be repaired sooner, whilst reducing internal staff resource required. </w:t>
      </w:r>
    </w:p>
    <w:p w:rsidR="00776927" w:rsidRDefault="00776927" w:rsidP="00307F76"/>
    <w:p w:rsidR="00307F76" w:rsidRDefault="00CF36AA" w:rsidP="00425D70">
      <w:pPr>
        <w:ind w:left="720"/>
      </w:pPr>
      <w:r w:rsidRPr="00CF36AA">
        <w:t>We</w:t>
      </w:r>
      <w:r w:rsidR="00776927" w:rsidRPr="00CF36AA">
        <w:t xml:space="preserve"> are utilising technology and innovation to modernise how the Council works.</w:t>
      </w:r>
    </w:p>
    <w:p w:rsidR="009F38A9" w:rsidRPr="00F22C98" w:rsidRDefault="009F38A9" w:rsidP="00307F76">
      <w:pPr>
        <w:rPr>
          <w:rFonts w:cs="Arial"/>
        </w:rPr>
      </w:pPr>
    </w:p>
    <w:p w:rsidR="00333FAA" w:rsidRPr="007174EB" w:rsidRDefault="00333FAA" w:rsidP="00333FAA">
      <w:pPr>
        <w:pStyle w:val="Heading1"/>
        <w:keepNext/>
        <w:rPr>
          <w:sz w:val="28"/>
        </w:rPr>
      </w:pPr>
      <w:r w:rsidRPr="007174EB">
        <w:rPr>
          <w:sz w:val="28"/>
        </w:rP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2"/>
        <w:gridCol w:w="25"/>
        <w:gridCol w:w="358"/>
        <w:gridCol w:w="10"/>
        <w:gridCol w:w="15"/>
        <w:gridCol w:w="209"/>
        <w:gridCol w:w="10"/>
        <w:gridCol w:w="15"/>
        <w:gridCol w:w="3591"/>
      </w:tblGrid>
      <w:tr w:rsidR="00333FAA" w:rsidTr="007F1DA9">
        <w:tc>
          <w:tcPr>
            <w:tcW w:w="4316" w:type="dxa"/>
            <w:gridSpan w:val="2"/>
            <w:tcBorders>
              <w:bottom w:val="nil"/>
              <w:right w:val="nil"/>
            </w:tcBorders>
          </w:tcPr>
          <w:p w:rsidR="00333FAA" w:rsidRDefault="00333FAA" w:rsidP="00A53B04">
            <w:pPr>
              <w:pStyle w:val="Infotext"/>
            </w:pPr>
          </w:p>
        </w:tc>
        <w:tc>
          <w:tcPr>
            <w:tcW w:w="383" w:type="dxa"/>
            <w:gridSpan w:val="3"/>
            <w:tcBorders>
              <w:left w:val="nil"/>
              <w:right w:val="nil"/>
            </w:tcBorders>
          </w:tcPr>
          <w:p w:rsidR="00333FAA" w:rsidRDefault="00333FAA" w:rsidP="00A53B04">
            <w:pPr>
              <w:pStyle w:val="Infotext"/>
            </w:pPr>
          </w:p>
        </w:tc>
        <w:tc>
          <w:tcPr>
            <w:tcW w:w="234" w:type="dxa"/>
            <w:gridSpan w:val="3"/>
            <w:tcBorders>
              <w:left w:val="nil"/>
              <w:bottom w:val="nil"/>
              <w:right w:val="nil"/>
            </w:tcBorders>
          </w:tcPr>
          <w:p w:rsidR="00333FAA" w:rsidRDefault="00333FAA" w:rsidP="00A53B04">
            <w:pPr>
              <w:pStyle w:val="Infotext"/>
            </w:pPr>
          </w:p>
        </w:tc>
        <w:tc>
          <w:tcPr>
            <w:tcW w:w="3592" w:type="dxa"/>
            <w:tcBorders>
              <w:left w:val="nil"/>
              <w:bottom w:val="nil"/>
            </w:tcBorders>
          </w:tcPr>
          <w:p w:rsidR="00333FAA" w:rsidRDefault="00333FAA" w:rsidP="00A53B04">
            <w:pPr>
              <w:pStyle w:val="Infotext"/>
            </w:pPr>
            <w:r>
              <w:t>on behalf of the</w:t>
            </w:r>
            <w:r w:rsidR="001966D7">
              <w:t xml:space="preserve"> *</w:t>
            </w:r>
          </w:p>
        </w:tc>
      </w:tr>
      <w:tr w:rsidR="00333FAA" w:rsidTr="007F1DA9">
        <w:tc>
          <w:tcPr>
            <w:tcW w:w="4316" w:type="dxa"/>
            <w:gridSpan w:val="2"/>
            <w:tcBorders>
              <w:top w:val="nil"/>
              <w:bottom w:val="nil"/>
            </w:tcBorders>
          </w:tcPr>
          <w:p w:rsidR="00333FAA" w:rsidRDefault="00333FAA" w:rsidP="00A20D78">
            <w:pPr>
              <w:pStyle w:val="Infotext"/>
            </w:pPr>
            <w:r>
              <w:t>Name:</w:t>
            </w:r>
            <w:r w:rsidR="00DB6C3D">
              <w:t xml:space="preserve"> </w:t>
            </w:r>
            <w:r w:rsidR="00A20D78">
              <w:t xml:space="preserve"> </w:t>
            </w:r>
            <w:r w:rsidR="002F62F7">
              <w:t>Tasleem Kazmi</w:t>
            </w:r>
          </w:p>
        </w:tc>
        <w:tc>
          <w:tcPr>
            <w:tcW w:w="383" w:type="dxa"/>
            <w:gridSpan w:val="3"/>
            <w:tcBorders>
              <w:bottom w:val="single" w:sz="4" w:space="0" w:color="auto"/>
            </w:tcBorders>
          </w:tcPr>
          <w:p w:rsidR="00333FAA" w:rsidRDefault="00154C28" w:rsidP="00A53B04">
            <w:pPr>
              <w:pStyle w:val="Infotext"/>
            </w:pPr>
            <w:r>
              <w:t>x</w:t>
            </w:r>
          </w:p>
        </w:tc>
        <w:tc>
          <w:tcPr>
            <w:tcW w:w="234" w:type="dxa"/>
            <w:gridSpan w:val="3"/>
            <w:tcBorders>
              <w:top w:val="nil"/>
              <w:bottom w:val="nil"/>
              <w:right w:val="nil"/>
            </w:tcBorders>
          </w:tcPr>
          <w:p w:rsidR="00333FAA" w:rsidRDefault="00333FAA" w:rsidP="00A53B04">
            <w:pPr>
              <w:pStyle w:val="Infotext"/>
            </w:pPr>
          </w:p>
        </w:tc>
        <w:tc>
          <w:tcPr>
            <w:tcW w:w="3592" w:type="dxa"/>
            <w:tcBorders>
              <w:top w:val="nil"/>
              <w:left w:val="nil"/>
              <w:bottom w:val="nil"/>
            </w:tcBorders>
          </w:tcPr>
          <w:p w:rsidR="00333FAA" w:rsidRDefault="00333FAA" w:rsidP="00A53B04">
            <w:pPr>
              <w:pStyle w:val="Infotext"/>
            </w:pPr>
            <w:r>
              <w:t>Chief Financial Officer</w:t>
            </w:r>
          </w:p>
        </w:tc>
      </w:tr>
      <w:tr w:rsidR="00333FAA" w:rsidTr="007F1DA9">
        <w:tc>
          <w:tcPr>
            <w:tcW w:w="4316" w:type="dxa"/>
            <w:gridSpan w:val="2"/>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A20D78">
              <w:t xml:space="preserve"> </w:t>
            </w:r>
            <w:r w:rsidR="002F62F7">
              <w:t>10</w:t>
            </w:r>
            <w:r w:rsidR="002F62F7" w:rsidRPr="002F62F7">
              <w:rPr>
                <w:vertAlign w:val="superscript"/>
              </w:rPr>
              <w:t>th</w:t>
            </w:r>
            <w:r w:rsidR="002F62F7">
              <w:t xml:space="preserve"> Feb</w:t>
            </w:r>
            <w:r w:rsidR="006C343F">
              <w:t>ruary</w:t>
            </w:r>
            <w:r w:rsidR="002F62F7">
              <w:t xml:space="preserve"> 2020</w:t>
            </w:r>
          </w:p>
        </w:tc>
        <w:tc>
          <w:tcPr>
            <w:tcW w:w="383" w:type="dxa"/>
            <w:gridSpan w:val="3"/>
            <w:tcBorders>
              <w:left w:val="nil"/>
              <w:bottom w:val="single" w:sz="4" w:space="0" w:color="auto"/>
              <w:right w:val="nil"/>
            </w:tcBorders>
          </w:tcPr>
          <w:p w:rsidR="00333FAA" w:rsidRDefault="00333FAA" w:rsidP="00A53B04">
            <w:pPr>
              <w:pStyle w:val="Infotext"/>
            </w:pPr>
          </w:p>
        </w:tc>
        <w:tc>
          <w:tcPr>
            <w:tcW w:w="234" w:type="dxa"/>
            <w:gridSpan w:val="3"/>
            <w:tcBorders>
              <w:top w:val="nil"/>
              <w:left w:val="nil"/>
              <w:right w:val="nil"/>
            </w:tcBorders>
          </w:tcPr>
          <w:p w:rsidR="00333FAA" w:rsidRDefault="00333FAA" w:rsidP="00A53B04">
            <w:pPr>
              <w:pStyle w:val="Infotext"/>
            </w:pPr>
          </w:p>
        </w:tc>
        <w:tc>
          <w:tcPr>
            <w:tcW w:w="3592" w:type="dxa"/>
            <w:tcBorders>
              <w:top w:val="nil"/>
              <w:left w:val="nil"/>
            </w:tcBorders>
          </w:tcPr>
          <w:p w:rsidR="00333FAA" w:rsidRDefault="00333FAA" w:rsidP="00A53B04">
            <w:pPr>
              <w:pStyle w:val="Infotext"/>
            </w:pPr>
          </w:p>
        </w:tc>
      </w:tr>
      <w:tr w:rsidR="00333FAA" w:rsidTr="007F1DA9">
        <w:tc>
          <w:tcPr>
            <w:tcW w:w="4316" w:type="dxa"/>
            <w:gridSpan w:val="2"/>
            <w:tcBorders>
              <w:bottom w:val="nil"/>
              <w:right w:val="nil"/>
            </w:tcBorders>
          </w:tcPr>
          <w:p w:rsidR="00333FAA" w:rsidRDefault="00333FAA" w:rsidP="00A53B04">
            <w:pPr>
              <w:pStyle w:val="Infotext"/>
            </w:pPr>
          </w:p>
          <w:p w:rsidR="00333FAA" w:rsidRDefault="00333FAA" w:rsidP="00A53B04">
            <w:pPr>
              <w:pStyle w:val="Infotext"/>
            </w:pPr>
          </w:p>
        </w:tc>
        <w:tc>
          <w:tcPr>
            <w:tcW w:w="383" w:type="dxa"/>
            <w:gridSpan w:val="3"/>
            <w:tcBorders>
              <w:left w:val="nil"/>
              <w:right w:val="nil"/>
            </w:tcBorders>
          </w:tcPr>
          <w:p w:rsidR="00333FAA" w:rsidRDefault="00333FAA" w:rsidP="00A53B04">
            <w:pPr>
              <w:pStyle w:val="Infotext"/>
            </w:pPr>
          </w:p>
        </w:tc>
        <w:tc>
          <w:tcPr>
            <w:tcW w:w="234" w:type="dxa"/>
            <w:gridSpan w:val="3"/>
            <w:tcBorders>
              <w:left w:val="nil"/>
              <w:bottom w:val="nil"/>
              <w:right w:val="nil"/>
            </w:tcBorders>
          </w:tcPr>
          <w:p w:rsidR="00333FAA" w:rsidRDefault="00333FAA" w:rsidP="00A53B04">
            <w:pPr>
              <w:pStyle w:val="Infotext"/>
            </w:pPr>
          </w:p>
        </w:tc>
        <w:tc>
          <w:tcPr>
            <w:tcW w:w="3592" w:type="dxa"/>
            <w:tcBorders>
              <w:left w:val="nil"/>
              <w:bottom w:val="nil"/>
            </w:tcBorders>
          </w:tcPr>
          <w:p w:rsidR="00333FAA" w:rsidRDefault="00333FAA" w:rsidP="00A53B04">
            <w:pPr>
              <w:pStyle w:val="Infotext"/>
            </w:pPr>
            <w:r>
              <w:t>on behalf of the</w:t>
            </w:r>
            <w:r w:rsidR="001966D7">
              <w:t xml:space="preserve"> *</w:t>
            </w:r>
          </w:p>
        </w:tc>
      </w:tr>
      <w:tr w:rsidR="00333FAA" w:rsidTr="007F1DA9">
        <w:tc>
          <w:tcPr>
            <w:tcW w:w="4316" w:type="dxa"/>
            <w:gridSpan w:val="2"/>
            <w:tcBorders>
              <w:top w:val="nil"/>
              <w:bottom w:val="nil"/>
            </w:tcBorders>
          </w:tcPr>
          <w:p w:rsidR="00333FAA" w:rsidRDefault="00333FAA" w:rsidP="00A20D78">
            <w:pPr>
              <w:pStyle w:val="Infotext"/>
            </w:pPr>
            <w:r>
              <w:t xml:space="preserve">Name: </w:t>
            </w:r>
            <w:r w:rsidR="00A20D78">
              <w:t xml:space="preserve"> </w:t>
            </w:r>
            <w:r w:rsidR="009F38A9">
              <w:t xml:space="preserve">Stephen </w:t>
            </w:r>
            <w:proofErr w:type="spellStart"/>
            <w:r w:rsidR="009F38A9">
              <w:t>Dorrian</w:t>
            </w:r>
            <w:proofErr w:type="spellEnd"/>
          </w:p>
        </w:tc>
        <w:tc>
          <w:tcPr>
            <w:tcW w:w="383" w:type="dxa"/>
            <w:gridSpan w:val="3"/>
            <w:tcBorders>
              <w:bottom w:val="single" w:sz="4" w:space="0" w:color="auto"/>
            </w:tcBorders>
          </w:tcPr>
          <w:p w:rsidR="00333FAA" w:rsidRDefault="00154C28" w:rsidP="00A53B04">
            <w:pPr>
              <w:pStyle w:val="Infotext"/>
            </w:pPr>
            <w:r>
              <w:t>x</w:t>
            </w:r>
          </w:p>
        </w:tc>
        <w:tc>
          <w:tcPr>
            <w:tcW w:w="234" w:type="dxa"/>
            <w:gridSpan w:val="3"/>
            <w:tcBorders>
              <w:top w:val="nil"/>
              <w:bottom w:val="nil"/>
              <w:right w:val="nil"/>
            </w:tcBorders>
          </w:tcPr>
          <w:p w:rsidR="00333FAA" w:rsidRDefault="00333FAA" w:rsidP="00A53B04">
            <w:pPr>
              <w:pStyle w:val="Infotext"/>
            </w:pPr>
          </w:p>
        </w:tc>
        <w:tc>
          <w:tcPr>
            <w:tcW w:w="3592" w:type="dxa"/>
            <w:tcBorders>
              <w:top w:val="nil"/>
              <w:left w:val="nil"/>
              <w:bottom w:val="nil"/>
            </w:tcBorders>
          </w:tcPr>
          <w:p w:rsidR="00333FAA" w:rsidRDefault="00333FAA" w:rsidP="00A53B04">
            <w:pPr>
              <w:pStyle w:val="Infotext"/>
            </w:pPr>
            <w:r>
              <w:t>Monitoring Officer</w:t>
            </w:r>
          </w:p>
        </w:tc>
      </w:tr>
      <w:tr w:rsidR="00333FAA" w:rsidTr="007F1DA9">
        <w:tc>
          <w:tcPr>
            <w:tcW w:w="4316" w:type="dxa"/>
            <w:gridSpan w:val="2"/>
            <w:tcBorders>
              <w:top w:val="nil"/>
              <w:right w:val="nil"/>
            </w:tcBorders>
          </w:tcPr>
          <w:p w:rsidR="00333FAA" w:rsidRDefault="00333FAA" w:rsidP="00A53B04">
            <w:pPr>
              <w:pStyle w:val="Infotext"/>
            </w:pPr>
          </w:p>
          <w:p w:rsidR="00333FAA" w:rsidRDefault="00333FAA" w:rsidP="00A20D78">
            <w:pPr>
              <w:pStyle w:val="Infotext"/>
            </w:pPr>
            <w:r>
              <w:t xml:space="preserve">Date: </w:t>
            </w:r>
            <w:r w:rsidR="000A667F">
              <w:t>31</w:t>
            </w:r>
            <w:r w:rsidR="000A667F" w:rsidRPr="000A667F">
              <w:rPr>
                <w:vertAlign w:val="superscript"/>
              </w:rPr>
              <w:t>st</w:t>
            </w:r>
            <w:r w:rsidR="000A667F">
              <w:t xml:space="preserve"> Jan</w:t>
            </w:r>
            <w:r w:rsidR="006C343F">
              <w:t>uary</w:t>
            </w:r>
            <w:r w:rsidR="000A667F">
              <w:t xml:space="preserve"> 2020</w:t>
            </w:r>
            <w:r w:rsidR="00A20D78">
              <w:t xml:space="preserve"> </w:t>
            </w:r>
          </w:p>
        </w:tc>
        <w:tc>
          <w:tcPr>
            <w:tcW w:w="383" w:type="dxa"/>
            <w:gridSpan w:val="3"/>
            <w:tcBorders>
              <w:left w:val="nil"/>
              <w:right w:val="nil"/>
            </w:tcBorders>
          </w:tcPr>
          <w:p w:rsidR="00333FAA" w:rsidRDefault="00333FAA" w:rsidP="00A53B04">
            <w:pPr>
              <w:pStyle w:val="Infotext"/>
            </w:pPr>
          </w:p>
        </w:tc>
        <w:tc>
          <w:tcPr>
            <w:tcW w:w="234" w:type="dxa"/>
            <w:gridSpan w:val="3"/>
            <w:tcBorders>
              <w:top w:val="nil"/>
              <w:left w:val="nil"/>
              <w:right w:val="nil"/>
            </w:tcBorders>
          </w:tcPr>
          <w:p w:rsidR="00333FAA" w:rsidRDefault="00333FAA" w:rsidP="00A53B04">
            <w:pPr>
              <w:pStyle w:val="Infotext"/>
            </w:pPr>
          </w:p>
        </w:tc>
        <w:tc>
          <w:tcPr>
            <w:tcW w:w="3592" w:type="dxa"/>
            <w:tcBorders>
              <w:top w:val="nil"/>
              <w:left w:val="nil"/>
            </w:tcBorders>
          </w:tcPr>
          <w:p w:rsidR="00333FAA" w:rsidRDefault="00333FAA" w:rsidP="00A53B04">
            <w:pPr>
              <w:pStyle w:val="Infotext"/>
            </w:pPr>
          </w:p>
          <w:p w:rsidR="00333FAA" w:rsidRDefault="00333FAA" w:rsidP="00A53B04">
            <w:pPr>
              <w:pStyle w:val="Infotext"/>
            </w:pPr>
          </w:p>
        </w:tc>
      </w:tr>
      <w:tr w:rsidR="007116B1" w:rsidTr="007F1DA9">
        <w:tc>
          <w:tcPr>
            <w:tcW w:w="4295" w:type="dxa"/>
            <w:tcBorders>
              <w:bottom w:val="nil"/>
              <w:right w:val="nil"/>
            </w:tcBorders>
          </w:tcPr>
          <w:p w:rsidR="00321FBB" w:rsidRDefault="00321FBB" w:rsidP="004809FA">
            <w:pPr>
              <w:pStyle w:val="Infotext"/>
            </w:pPr>
          </w:p>
        </w:tc>
        <w:tc>
          <w:tcPr>
            <w:tcW w:w="383" w:type="dxa"/>
            <w:gridSpan w:val="2"/>
            <w:tcBorders>
              <w:left w:val="nil"/>
              <w:right w:val="nil"/>
            </w:tcBorders>
          </w:tcPr>
          <w:p w:rsidR="00321FBB" w:rsidRDefault="00321FBB" w:rsidP="004809FA">
            <w:pPr>
              <w:pStyle w:val="Infotext"/>
            </w:pPr>
          </w:p>
        </w:tc>
        <w:tc>
          <w:tcPr>
            <w:tcW w:w="234" w:type="dxa"/>
            <w:gridSpan w:val="3"/>
            <w:tcBorders>
              <w:left w:val="nil"/>
              <w:bottom w:val="nil"/>
              <w:right w:val="nil"/>
            </w:tcBorders>
          </w:tcPr>
          <w:p w:rsidR="00321FBB" w:rsidRDefault="00321FBB" w:rsidP="004809FA">
            <w:pPr>
              <w:pStyle w:val="Infotext"/>
            </w:pPr>
          </w:p>
        </w:tc>
        <w:tc>
          <w:tcPr>
            <w:tcW w:w="3613" w:type="dxa"/>
            <w:gridSpan w:val="3"/>
            <w:tcBorders>
              <w:left w:val="nil"/>
              <w:bottom w:val="nil"/>
            </w:tcBorders>
          </w:tcPr>
          <w:p w:rsidR="00321FBB" w:rsidRDefault="00321FBB" w:rsidP="004809FA">
            <w:pPr>
              <w:pStyle w:val="Infotext"/>
            </w:pPr>
          </w:p>
          <w:p w:rsidR="00321FBB" w:rsidRDefault="00321FBB" w:rsidP="00321FBB">
            <w:pPr>
              <w:pStyle w:val="Infotext"/>
            </w:pPr>
            <w:r>
              <w:t>on behalf of the</w:t>
            </w:r>
            <w:r w:rsidR="004553F1">
              <w:t xml:space="preserve"> *</w:t>
            </w:r>
            <w:r>
              <w:t xml:space="preserve"> </w:t>
            </w:r>
          </w:p>
        </w:tc>
      </w:tr>
      <w:tr w:rsidR="007116B1" w:rsidTr="007F1DA9">
        <w:tc>
          <w:tcPr>
            <w:tcW w:w="4295" w:type="dxa"/>
            <w:tcBorders>
              <w:top w:val="nil"/>
              <w:bottom w:val="nil"/>
            </w:tcBorders>
          </w:tcPr>
          <w:p w:rsidR="00321FBB" w:rsidRDefault="00321FBB" w:rsidP="003557AA">
            <w:pPr>
              <w:pStyle w:val="Infotext"/>
            </w:pPr>
            <w:r>
              <w:t xml:space="preserve">Name: </w:t>
            </w:r>
            <w:r w:rsidR="00A20D78">
              <w:t xml:space="preserve"> </w:t>
            </w:r>
            <w:r w:rsidR="003557AA">
              <w:t xml:space="preserve">Lisa Taylor </w:t>
            </w:r>
          </w:p>
        </w:tc>
        <w:tc>
          <w:tcPr>
            <w:tcW w:w="383" w:type="dxa"/>
            <w:gridSpan w:val="2"/>
            <w:tcBorders>
              <w:bottom w:val="single" w:sz="4" w:space="0" w:color="auto"/>
            </w:tcBorders>
          </w:tcPr>
          <w:p w:rsidR="00321FBB" w:rsidRDefault="00154C28" w:rsidP="004809FA">
            <w:pPr>
              <w:pStyle w:val="Infotext"/>
            </w:pPr>
            <w:r>
              <w:t>x</w:t>
            </w:r>
          </w:p>
        </w:tc>
        <w:tc>
          <w:tcPr>
            <w:tcW w:w="234" w:type="dxa"/>
            <w:gridSpan w:val="3"/>
            <w:tcBorders>
              <w:top w:val="nil"/>
              <w:bottom w:val="nil"/>
              <w:right w:val="nil"/>
            </w:tcBorders>
          </w:tcPr>
          <w:p w:rsidR="00321FBB" w:rsidRDefault="00321FBB" w:rsidP="004809FA">
            <w:pPr>
              <w:pStyle w:val="Infotext"/>
            </w:pPr>
          </w:p>
        </w:tc>
        <w:tc>
          <w:tcPr>
            <w:tcW w:w="3613" w:type="dxa"/>
            <w:gridSpan w:val="3"/>
            <w:tcBorders>
              <w:top w:val="nil"/>
              <w:left w:val="nil"/>
              <w:bottom w:val="nil"/>
            </w:tcBorders>
          </w:tcPr>
          <w:p w:rsidR="00321FBB" w:rsidRDefault="007116B1" w:rsidP="007116B1">
            <w:pPr>
              <w:pStyle w:val="Infotext"/>
            </w:pPr>
            <w:r>
              <w:t>Head of Procurement</w:t>
            </w:r>
          </w:p>
        </w:tc>
      </w:tr>
      <w:tr w:rsidR="007116B1" w:rsidTr="007F1DA9">
        <w:tc>
          <w:tcPr>
            <w:tcW w:w="4295" w:type="dxa"/>
            <w:tcBorders>
              <w:top w:val="nil"/>
              <w:right w:val="nil"/>
            </w:tcBorders>
          </w:tcPr>
          <w:p w:rsidR="00321FBB" w:rsidRDefault="00321FBB" w:rsidP="004809FA">
            <w:pPr>
              <w:pStyle w:val="Infotext"/>
            </w:pPr>
            <w:r>
              <w:t xml:space="preserve"> </w:t>
            </w:r>
          </w:p>
          <w:p w:rsidR="00321FBB" w:rsidRDefault="00321FBB" w:rsidP="00A20D78">
            <w:pPr>
              <w:pStyle w:val="Infotext"/>
            </w:pPr>
            <w:r>
              <w:t xml:space="preserve">Date: </w:t>
            </w:r>
            <w:r w:rsidR="00A20D78">
              <w:t xml:space="preserve"> </w:t>
            </w:r>
            <w:r w:rsidR="003557AA">
              <w:t>10</w:t>
            </w:r>
            <w:r w:rsidR="003557AA" w:rsidRPr="003557AA">
              <w:rPr>
                <w:vertAlign w:val="superscript"/>
              </w:rPr>
              <w:t>th</w:t>
            </w:r>
            <w:r w:rsidR="003557AA">
              <w:t xml:space="preserve"> February 2020</w:t>
            </w:r>
          </w:p>
        </w:tc>
        <w:tc>
          <w:tcPr>
            <w:tcW w:w="383" w:type="dxa"/>
            <w:gridSpan w:val="2"/>
            <w:tcBorders>
              <w:left w:val="nil"/>
              <w:bottom w:val="single" w:sz="4" w:space="0" w:color="auto"/>
              <w:right w:val="nil"/>
            </w:tcBorders>
          </w:tcPr>
          <w:p w:rsidR="00321FBB" w:rsidRDefault="00321FBB" w:rsidP="004809FA">
            <w:pPr>
              <w:pStyle w:val="Infotext"/>
            </w:pPr>
          </w:p>
        </w:tc>
        <w:tc>
          <w:tcPr>
            <w:tcW w:w="234" w:type="dxa"/>
            <w:gridSpan w:val="3"/>
            <w:tcBorders>
              <w:top w:val="nil"/>
              <w:left w:val="nil"/>
              <w:right w:val="nil"/>
            </w:tcBorders>
          </w:tcPr>
          <w:p w:rsidR="00321FBB" w:rsidRDefault="00321FBB" w:rsidP="004809FA">
            <w:pPr>
              <w:pStyle w:val="Infotext"/>
            </w:pPr>
          </w:p>
        </w:tc>
        <w:tc>
          <w:tcPr>
            <w:tcW w:w="3613" w:type="dxa"/>
            <w:gridSpan w:val="3"/>
            <w:tcBorders>
              <w:top w:val="nil"/>
              <w:left w:val="nil"/>
            </w:tcBorders>
          </w:tcPr>
          <w:p w:rsidR="00321FBB" w:rsidRDefault="003557AA" w:rsidP="004809FA">
            <w:pPr>
              <w:pStyle w:val="Infotext"/>
            </w:pPr>
            <w:r>
              <w:t>Nimesh Mehta</w:t>
            </w:r>
          </w:p>
        </w:tc>
      </w:tr>
      <w:tr w:rsidR="00435B5D" w:rsidTr="007F1DA9">
        <w:tc>
          <w:tcPr>
            <w:tcW w:w="4320" w:type="dxa"/>
            <w:gridSpan w:val="2"/>
            <w:tcBorders>
              <w:bottom w:val="nil"/>
              <w:right w:val="nil"/>
            </w:tcBorders>
          </w:tcPr>
          <w:p w:rsidR="00435B5D" w:rsidRDefault="00435B5D" w:rsidP="004F54BD">
            <w:pPr>
              <w:pStyle w:val="Infotext"/>
            </w:pPr>
          </w:p>
        </w:tc>
        <w:tc>
          <w:tcPr>
            <w:tcW w:w="368" w:type="dxa"/>
            <w:gridSpan w:val="2"/>
            <w:tcBorders>
              <w:left w:val="nil"/>
              <w:right w:val="nil"/>
            </w:tcBorders>
          </w:tcPr>
          <w:p w:rsidR="00435B5D" w:rsidRDefault="00435B5D" w:rsidP="004F54BD">
            <w:pPr>
              <w:pStyle w:val="Infotext"/>
            </w:pPr>
          </w:p>
        </w:tc>
        <w:tc>
          <w:tcPr>
            <w:tcW w:w="234" w:type="dxa"/>
            <w:gridSpan w:val="3"/>
            <w:tcBorders>
              <w:left w:val="nil"/>
              <w:bottom w:val="nil"/>
              <w:right w:val="nil"/>
            </w:tcBorders>
          </w:tcPr>
          <w:p w:rsidR="00435B5D" w:rsidRDefault="00435B5D" w:rsidP="004F54BD">
            <w:pPr>
              <w:pStyle w:val="Infotext"/>
            </w:pPr>
          </w:p>
        </w:tc>
        <w:tc>
          <w:tcPr>
            <w:tcW w:w="3603" w:type="dxa"/>
            <w:gridSpan w:val="2"/>
            <w:tcBorders>
              <w:left w:val="nil"/>
              <w:bottom w:val="nil"/>
            </w:tcBorders>
          </w:tcPr>
          <w:p w:rsidR="00435B5D" w:rsidRDefault="00435B5D" w:rsidP="004F54BD">
            <w:pPr>
              <w:pStyle w:val="Infotext"/>
            </w:pPr>
          </w:p>
        </w:tc>
      </w:tr>
      <w:tr w:rsidR="00435B5D" w:rsidTr="007F1DA9">
        <w:tc>
          <w:tcPr>
            <w:tcW w:w="4320" w:type="dxa"/>
            <w:gridSpan w:val="2"/>
            <w:tcBorders>
              <w:top w:val="nil"/>
              <w:bottom w:val="nil"/>
            </w:tcBorders>
          </w:tcPr>
          <w:p w:rsidR="00435B5D" w:rsidRDefault="00435B5D" w:rsidP="00A20D78">
            <w:pPr>
              <w:pStyle w:val="Infotext"/>
            </w:pPr>
            <w:r>
              <w:t xml:space="preserve">Name: </w:t>
            </w:r>
            <w:r w:rsidR="00A20D78">
              <w:t xml:space="preserve"> </w:t>
            </w:r>
            <w:r w:rsidR="00BB1785">
              <w:t>Paul Walker</w:t>
            </w:r>
          </w:p>
        </w:tc>
        <w:tc>
          <w:tcPr>
            <w:tcW w:w="368" w:type="dxa"/>
            <w:gridSpan w:val="2"/>
            <w:tcBorders>
              <w:bottom w:val="single" w:sz="4" w:space="0" w:color="auto"/>
            </w:tcBorders>
          </w:tcPr>
          <w:p w:rsidR="00435B5D" w:rsidRDefault="00AF7FCB" w:rsidP="004F54BD">
            <w:pPr>
              <w:pStyle w:val="Infotext"/>
            </w:pPr>
            <w:r>
              <w:t>x</w:t>
            </w:r>
          </w:p>
        </w:tc>
        <w:tc>
          <w:tcPr>
            <w:tcW w:w="234" w:type="dxa"/>
            <w:gridSpan w:val="3"/>
            <w:tcBorders>
              <w:top w:val="nil"/>
              <w:bottom w:val="nil"/>
              <w:right w:val="nil"/>
            </w:tcBorders>
          </w:tcPr>
          <w:p w:rsidR="00435B5D" w:rsidRDefault="00435B5D" w:rsidP="004F54BD">
            <w:pPr>
              <w:pStyle w:val="Infotext"/>
            </w:pPr>
          </w:p>
        </w:tc>
        <w:tc>
          <w:tcPr>
            <w:tcW w:w="3603" w:type="dxa"/>
            <w:gridSpan w:val="2"/>
            <w:tcBorders>
              <w:top w:val="nil"/>
              <w:left w:val="nil"/>
              <w:bottom w:val="nil"/>
            </w:tcBorders>
          </w:tcPr>
          <w:p w:rsidR="00435B5D" w:rsidRDefault="00435B5D" w:rsidP="004F54BD">
            <w:pPr>
              <w:pStyle w:val="Infotext"/>
            </w:pPr>
            <w:r>
              <w:t>Corporate Director</w:t>
            </w:r>
          </w:p>
        </w:tc>
      </w:tr>
      <w:tr w:rsidR="00435B5D" w:rsidTr="007F1DA9">
        <w:tc>
          <w:tcPr>
            <w:tcW w:w="4320" w:type="dxa"/>
            <w:gridSpan w:val="2"/>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AF7FCB">
              <w:t>25</w:t>
            </w:r>
            <w:r w:rsidR="00AF7FCB" w:rsidRPr="00AF7FCB">
              <w:rPr>
                <w:vertAlign w:val="superscript"/>
              </w:rPr>
              <w:t>th</w:t>
            </w:r>
            <w:r w:rsidR="00AF7FCB">
              <w:t xml:space="preserve"> February 2020</w:t>
            </w:r>
          </w:p>
        </w:tc>
        <w:tc>
          <w:tcPr>
            <w:tcW w:w="368" w:type="dxa"/>
            <w:gridSpan w:val="2"/>
            <w:tcBorders>
              <w:left w:val="nil"/>
              <w:bottom w:val="single" w:sz="4" w:space="0" w:color="auto"/>
              <w:right w:val="nil"/>
            </w:tcBorders>
          </w:tcPr>
          <w:p w:rsidR="00435B5D" w:rsidRDefault="00435B5D" w:rsidP="004F54BD">
            <w:pPr>
              <w:pStyle w:val="Infotext"/>
            </w:pPr>
          </w:p>
        </w:tc>
        <w:tc>
          <w:tcPr>
            <w:tcW w:w="234" w:type="dxa"/>
            <w:gridSpan w:val="3"/>
            <w:tcBorders>
              <w:top w:val="nil"/>
              <w:left w:val="nil"/>
              <w:right w:val="nil"/>
            </w:tcBorders>
          </w:tcPr>
          <w:p w:rsidR="00435B5D" w:rsidRDefault="00435B5D" w:rsidP="004F54BD">
            <w:pPr>
              <w:pStyle w:val="Infotext"/>
            </w:pPr>
          </w:p>
        </w:tc>
        <w:tc>
          <w:tcPr>
            <w:tcW w:w="3603" w:type="dxa"/>
            <w:gridSpan w:val="2"/>
            <w:tcBorders>
              <w:top w:val="nil"/>
              <w:left w:val="nil"/>
            </w:tcBorders>
          </w:tcPr>
          <w:p w:rsidR="00435B5D" w:rsidRDefault="00435B5D" w:rsidP="004F54BD">
            <w:pPr>
              <w:pStyle w:val="Infotext"/>
            </w:pPr>
          </w:p>
        </w:tc>
      </w:tr>
    </w:tbl>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3D78F6" w:rsidRDefault="00BB1785" w:rsidP="00BB1785">
            <w:pPr>
              <w:pStyle w:val="Infotext"/>
              <w:ind w:left="173"/>
              <w:rPr>
                <w:i/>
                <w:sz w:val="24"/>
                <w:szCs w:val="24"/>
              </w:rPr>
            </w:pPr>
            <w:r>
              <w:rPr>
                <w:rFonts w:cs="Arial"/>
                <w:b/>
                <w:bCs/>
                <w:szCs w:val="28"/>
                <w:lang w:eastAsia="en-GB"/>
              </w:rPr>
              <w:t>No - as impacts all ward</w:t>
            </w: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333FAA" w:rsidRDefault="00333FAA" w:rsidP="00A53B04">
            <w:pPr>
              <w:pStyle w:val="Infotext"/>
              <w:rPr>
                <w:b/>
                <w:color w:val="FF0000"/>
              </w:rPr>
            </w:pPr>
          </w:p>
          <w:p w:rsidR="00BB1785" w:rsidRDefault="00BB1785" w:rsidP="00BB1785">
            <w:pPr>
              <w:autoSpaceDE w:val="0"/>
              <w:autoSpaceDN w:val="0"/>
              <w:adjustRightInd w:val="0"/>
              <w:rPr>
                <w:rFonts w:cs="Arial"/>
                <w:sz w:val="28"/>
                <w:szCs w:val="28"/>
                <w:lang w:eastAsia="en-GB"/>
              </w:rPr>
            </w:pPr>
            <w:r>
              <w:rPr>
                <w:rFonts w:cs="Arial"/>
                <w:b/>
                <w:bCs/>
                <w:sz w:val="28"/>
                <w:szCs w:val="28"/>
                <w:lang w:eastAsia="en-GB"/>
              </w:rPr>
              <w:t xml:space="preserve">YES </w:t>
            </w:r>
            <w:r>
              <w:rPr>
                <w:rFonts w:cs="Arial"/>
                <w:sz w:val="28"/>
                <w:szCs w:val="28"/>
                <w:lang w:eastAsia="en-GB"/>
              </w:rPr>
              <w:t>An overarching</w:t>
            </w:r>
          </w:p>
          <w:p w:rsidR="00BB1785" w:rsidRDefault="00BB1785" w:rsidP="00BB1785">
            <w:pPr>
              <w:autoSpaceDE w:val="0"/>
              <w:autoSpaceDN w:val="0"/>
              <w:adjustRightInd w:val="0"/>
              <w:rPr>
                <w:rFonts w:cs="Arial"/>
                <w:sz w:val="28"/>
                <w:szCs w:val="28"/>
                <w:lang w:eastAsia="en-GB"/>
              </w:rPr>
            </w:pPr>
            <w:r>
              <w:rPr>
                <w:rFonts w:cs="Arial"/>
                <w:sz w:val="28"/>
                <w:szCs w:val="28"/>
                <w:lang w:eastAsia="en-GB"/>
              </w:rPr>
              <w:t>EQIA was undertaken for</w:t>
            </w:r>
          </w:p>
          <w:p w:rsidR="00BB1785" w:rsidRDefault="00BB1785" w:rsidP="00BB1785">
            <w:pPr>
              <w:autoSpaceDE w:val="0"/>
              <w:autoSpaceDN w:val="0"/>
              <w:adjustRightInd w:val="0"/>
              <w:rPr>
                <w:rFonts w:cs="Arial"/>
                <w:sz w:val="28"/>
                <w:szCs w:val="28"/>
                <w:lang w:eastAsia="en-GB"/>
              </w:rPr>
            </w:pPr>
            <w:r>
              <w:rPr>
                <w:rFonts w:cs="Arial"/>
                <w:sz w:val="28"/>
                <w:szCs w:val="28"/>
                <w:lang w:eastAsia="en-GB"/>
              </w:rPr>
              <w:t>the programme</w:t>
            </w:r>
            <w:r w:rsidR="00E55D55">
              <w:t xml:space="preserve"> </w:t>
            </w:r>
            <w:r w:rsidR="00E55D55" w:rsidRPr="00E55D55">
              <w:rPr>
                <w:rFonts w:cs="Arial"/>
                <w:sz w:val="28"/>
                <w:szCs w:val="28"/>
                <w:lang w:eastAsia="en-GB"/>
              </w:rPr>
              <w:t>Directorate Equality Task Group</w:t>
            </w:r>
          </w:p>
          <w:p w:rsidR="00333FAA" w:rsidRPr="00202D79" w:rsidRDefault="001352A8" w:rsidP="00A53B04">
            <w:pPr>
              <w:pStyle w:val="Infotext"/>
            </w:pPr>
            <w:r>
              <w:rPr>
                <w:rFonts w:cs="Arial"/>
                <w:b/>
                <w:bCs/>
                <w:szCs w:val="28"/>
                <w:lang w:eastAsia="en-GB"/>
              </w:rPr>
              <w:t>(</w:t>
            </w:r>
            <w:r w:rsidR="00BB1785">
              <w:rPr>
                <w:rFonts w:cs="Arial"/>
                <w:b/>
                <w:bCs/>
                <w:szCs w:val="28"/>
                <w:lang w:eastAsia="en-GB"/>
              </w:rPr>
              <w:t>DETG</w:t>
            </w:r>
            <w:r>
              <w:rPr>
                <w:rFonts w:cs="Arial"/>
                <w:b/>
                <w:bCs/>
                <w:szCs w:val="28"/>
                <w:lang w:eastAsia="en-GB"/>
              </w:rPr>
              <w:t>)</w:t>
            </w:r>
            <w:r w:rsidR="00BB1785">
              <w:rPr>
                <w:rFonts w:cs="Arial"/>
                <w:b/>
                <w:bCs/>
                <w:szCs w:val="28"/>
                <w:lang w:eastAsia="en-GB"/>
              </w:rPr>
              <w:t xml:space="preserve"> Chair</w:t>
            </w:r>
            <w:r w:rsidR="00367E96">
              <w:t xml:space="preserve"> </w:t>
            </w:r>
          </w:p>
          <w:p w:rsidR="00333FAA" w:rsidRPr="00303FD6" w:rsidRDefault="00333FAA" w:rsidP="00A53B04">
            <w:pPr>
              <w:pStyle w:val="Infotext"/>
              <w:rPr>
                <w:color w:val="FF0000"/>
              </w:rPr>
            </w:pPr>
          </w:p>
        </w:tc>
      </w:tr>
    </w:tbl>
    <w:p w:rsidR="00333FAA" w:rsidRDefault="00333FAA" w:rsidP="00333FAA"/>
    <w:p w:rsidR="00333FAA" w:rsidRDefault="00333FAA" w:rsidP="00333FAA">
      <w:pPr>
        <w:pStyle w:val="Heading1"/>
        <w:keepNext/>
      </w:pPr>
      <w:r>
        <w:lastRenderedPageBreak/>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BB1785" w:rsidRPr="00BB1785" w:rsidRDefault="00333FAA" w:rsidP="00BB1785">
      <w:pPr>
        <w:pStyle w:val="Infotext"/>
        <w:rPr>
          <w:b/>
        </w:rPr>
      </w:pPr>
      <w:r w:rsidRPr="004E47FC">
        <w:rPr>
          <w:b/>
        </w:rPr>
        <w:t xml:space="preserve">Contact:  </w:t>
      </w:r>
      <w:r w:rsidR="00BB1785">
        <w:rPr>
          <w:b/>
        </w:rPr>
        <w:tab/>
      </w:r>
      <w:r w:rsidR="00BB1785">
        <w:t>Andrew Campion</w:t>
      </w:r>
    </w:p>
    <w:p w:rsidR="00BB1785" w:rsidRPr="00BB1785" w:rsidRDefault="00BB1785" w:rsidP="00BB1785">
      <w:pPr>
        <w:pStyle w:val="Infotext"/>
        <w:ind w:left="720" w:firstLine="720"/>
      </w:pPr>
      <w:r w:rsidRPr="00BB1785">
        <w:t>Head of Asset Management</w:t>
      </w:r>
    </w:p>
    <w:p w:rsidR="00BB1785" w:rsidRPr="00BB1785" w:rsidRDefault="00BB1785" w:rsidP="00BB1785">
      <w:pPr>
        <w:pStyle w:val="Infotext"/>
        <w:ind w:left="720" w:firstLine="720"/>
      </w:pPr>
      <w:r w:rsidRPr="00BB1785">
        <w:t>0208 424 1339</w:t>
      </w:r>
    </w:p>
    <w:p w:rsidR="00333FAA" w:rsidRPr="00BB1785" w:rsidRDefault="00BB1785" w:rsidP="00BB1785">
      <w:pPr>
        <w:pStyle w:val="Infotext"/>
        <w:ind w:left="720" w:firstLine="720"/>
      </w:pPr>
      <w:r w:rsidRPr="00BB1785">
        <w:t>Andrew.Campion@harrow.gov.uk</w:t>
      </w:r>
    </w:p>
    <w:p w:rsidR="007F1DA9" w:rsidRDefault="007F1DA9" w:rsidP="00333FAA">
      <w:pPr>
        <w:pStyle w:val="Infotext"/>
        <w:rPr>
          <w:b/>
        </w:rPr>
      </w:pPr>
    </w:p>
    <w:p w:rsidR="00333FAA" w:rsidRDefault="00333FAA" w:rsidP="00333FAA">
      <w:pPr>
        <w:pStyle w:val="Infotext"/>
        <w:rPr>
          <w:b/>
        </w:rPr>
      </w:pPr>
      <w:r w:rsidRPr="004E47FC">
        <w:rPr>
          <w:b/>
        </w:rPr>
        <w:t xml:space="preserve">Background Papers: </w:t>
      </w:r>
      <w:r w:rsidR="005808FB">
        <w:rPr>
          <w:b/>
        </w:rPr>
        <w:t xml:space="preserve"> </w:t>
      </w:r>
      <w:r w:rsidR="00BB1785" w:rsidRPr="00BB1785">
        <w:t>None</w:t>
      </w: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Default="00333FAA">
            <w:pPr>
              <w:pStyle w:val="Infotext"/>
            </w:pPr>
            <w:r w:rsidRPr="007C0DC3">
              <w:rPr>
                <w:rFonts w:ascii="Arial Black" w:hAnsi="Arial Black"/>
              </w:rPr>
              <w:t>Call-In Waived by the Chair of Overview and Scrutiny Committee</w:t>
            </w: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BB1785" w:rsidP="00A53B04">
            <w:pPr>
              <w:pStyle w:val="Infotext"/>
            </w:pPr>
            <w:r>
              <w:rPr>
                <w:b/>
              </w:rPr>
              <w:t xml:space="preserve"> </w:t>
            </w:r>
            <w:r w:rsidR="00333FAA" w:rsidRPr="003D78F6">
              <w:rPr>
                <w:b/>
              </w:rPr>
              <w:t xml:space="preserve"> </w:t>
            </w:r>
            <w:r w:rsidR="00154C28">
              <w:rPr>
                <w:b/>
              </w:rPr>
              <w:t>NO</w:t>
            </w:r>
            <w:r>
              <w:t xml:space="preserve"> </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17653E" w:rsidRPr="0017653E" w:rsidRDefault="00BB1785" w:rsidP="0017653E">
            <w:pPr>
              <w:pStyle w:val="Infotext"/>
              <w:ind w:left="173"/>
              <w:rPr>
                <w:rFonts w:cs="Arial"/>
                <w:i/>
                <w:sz w:val="24"/>
                <w:szCs w:val="24"/>
                <w:lang w:eastAsia="en-GB"/>
              </w:rPr>
            </w:pPr>
            <w:r>
              <w:rPr>
                <w:i/>
                <w:color w:val="FF0000"/>
                <w:sz w:val="24"/>
                <w:szCs w:val="24"/>
              </w:rPr>
              <w:t xml:space="preserve"> </w:t>
            </w:r>
          </w:p>
        </w:tc>
      </w:tr>
    </w:tbl>
    <w:p w:rsidR="000D4E36" w:rsidRPr="00DE71D3" w:rsidRDefault="000D4E36" w:rsidP="001614E0"/>
    <w:sectPr w:rsidR="000D4E36" w:rsidRPr="00DE71D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D2" w:rsidRDefault="006F57D2">
      <w:r>
        <w:separator/>
      </w:r>
    </w:p>
  </w:endnote>
  <w:endnote w:type="continuationSeparator" w:id="0">
    <w:p w:rsidR="006F57D2" w:rsidRDefault="006F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D2" w:rsidRDefault="006F57D2">
      <w:r>
        <w:separator/>
      </w:r>
    </w:p>
  </w:footnote>
  <w:footnote w:type="continuationSeparator" w:id="0">
    <w:p w:rsidR="006F57D2" w:rsidRDefault="006F5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7613D"/>
    <w:multiLevelType w:val="multilevel"/>
    <w:tmpl w:val="E456572A"/>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6120A3"/>
    <w:multiLevelType w:val="hybridMultilevel"/>
    <w:tmpl w:val="A28C52E8"/>
    <w:lvl w:ilvl="0" w:tplc="DD22FD50">
      <w:start w:val="9"/>
      <w:numFmt w:val="bullet"/>
      <w:lvlText w:val="-"/>
      <w:lvlJc w:val="left"/>
      <w:pPr>
        <w:ind w:left="720" w:hanging="360"/>
      </w:pPr>
      <w:rPr>
        <w:rFonts w:ascii="Helvetica" w:eastAsia="Times New Roman" w:hAnsi="Helvetica" w:cs="Helvetic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694C65"/>
    <w:multiLevelType w:val="multilevel"/>
    <w:tmpl w:val="E456572A"/>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7"/>
  </w:num>
  <w:num w:numId="4">
    <w:abstractNumId w:val="45"/>
  </w:num>
  <w:num w:numId="5">
    <w:abstractNumId w:val="41"/>
  </w:num>
  <w:num w:numId="6">
    <w:abstractNumId w:val="19"/>
  </w:num>
  <w:num w:numId="7">
    <w:abstractNumId w:val="1"/>
  </w:num>
  <w:num w:numId="8">
    <w:abstractNumId w:val="25"/>
  </w:num>
  <w:num w:numId="9">
    <w:abstractNumId w:val="26"/>
  </w:num>
  <w:num w:numId="10">
    <w:abstractNumId w:val="44"/>
  </w:num>
  <w:num w:numId="11">
    <w:abstractNumId w:val="14"/>
  </w:num>
  <w:num w:numId="12">
    <w:abstractNumId w:val="23"/>
  </w:num>
  <w:num w:numId="13">
    <w:abstractNumId w:val="24"/>
  </w:num>
  <w:num w:numId="14">
    <w:abstractNumId w:val="15"/>
  </w:num>
  <w:num w:numId="15">
    <w:abstractNumId w:val="34"/>
  </w:num>
  <w:num w:numId="16">
    <w:abstractNumId w:val="18"/>
  </w:num>
  <w:num w:numId="17">
    <w:abstractNumId w:val="37"/>
  </w:num>
  <w:num w:numId="18">
    <w:abstractNumId w:val="21"/>
  </w:num>
  <w:num w:numId="19">
    <w:abstractNumId w:val="43"/>
  </w:num>
  <w:num w:numId="20">
    <w:abstractNumId w:val="7"/>
  </w:num>
  <w:num w:numId="21">
    <w:abstractNumId w:val="0"/>
  </w:num>
  <w:num w:numId="22">
    <w:abstractNumId w:val="8"/>
  </w:num>
  <w:num w:numId="23">
    <w:abstractNumId w:val="29"/>
  </w:num>
  <w:num w:numId="24">
    <w:abstractNumId w:val="10"/>
  </w:num>
  <w:num w:numId="25">
    <w:abstractNumId w:val="27"/>
  </w:num>
  <w:num w:numId="26">
    <w:abstractNumId w:val="30"/>
  </w:num>
  <w:num w:numId="27">
    <w:abstractNumId w:val="32"/>
  </w:num>
  <w:num w:numId="28">
    <w:abstractNumId w:val="13"/>
  </w:num>
  <w:num w:numId="29">
    <w:abstractNumId w:val="40"/>
  </w:num>
  <w:num w:numId="30">
    <w:abstractNumId w:val="12"/>
  </w:num>
  <w:num w:numId="31">
    <w:abstractNumId w:val="33"/>
  </w:num>
  <w:num w:numId="32">
    <w:abstractNumId w:val="36"/>
  </w:num>
  <w:num w:numId="33">
    <w:abstractNumId w:val="38"/>
  </w:num>
  <w:num w:numId="34">
    <w:abstractNumId w:val="11"/>
  </w:num>
  <w:num w:numId="35">
    <w:abstractNumId w:val="28"/>
  </w:num>
  <w:num w:numId="36">
    <w:abstractNumId w:val="4"/>
  </w:num>
  <w:num w:numId="37">
    <w:abstractNumId w:val="22"/>
  </w:num>
  <w:num w:numId="38">
    <w:abstractNumId w:val="46"/>
  </w:num>
  <w:num w:numId="39">
    <w:abstractNumId w:val="9"/>
  </w:num>
  <w:num w:numId="40">
    <w:abstractNumId w:val="5"/>
  </w:num>
  <w:num w:numId="41">
    <w:abstractNumId w:val="39"/>
  </w:num>
  <w:num w:numId="42">
    <w:abstractNumId w:val="47"/>
  </w:num>
  <w:num w:numId="43">
    <w:abstractNumId w:val="35"/>
  </w:num>
  <w:num w:numId="44">
    <w:abstractNumId w:val="3"/>
  </w:num>
  <w:num w:numId="45">
    <w:abstractNumId w:val="16"/>
  </w:num>
  <w:num w:numId="46">
    <w:abstractNumId w:val="2"/>
  </w:num>
  <w:num w:numId="47">
    <w:abstractNumId w:val="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31/01/2020 14:18"/>
  </w:docVars>
  <w:rsids>
    <w:rsidRoot w:val="00333FAA"/>
    <w:rsid w:val="0000089B"/>
    <w:rsid w:val="00003BE8"/>
    <w:rsid w:val="000133CE"/>
    <w:rsid w:val="00024A4C"/>
    <w:rsid w:val="0004029A"/>
    <w:rsid w:val="000412C8"/>
    <w:rsid w:val="000465CB"/>
    <w:rsid w:val="00051A48"/>
    <w:rsid w:val="0006034E"/>
    <w:rsid w:val="00063783"/>
    <w:rsid w:val="00073765"/>
    <w:rsid w:val="0007690A"/>
    <w:rsid w:val="000929A6"/>
    <w:rsid w:val="000A667F"/>
    <w:rsid w:val="000B5015"/>
    <w:rsid w:val="000B788F"/>
    <w:rsid w:val="000C359F"/>
    <w:rsid w:val="000D4E36"/>
    <w:rsid w:val="000E62FE"/>
    <w:rsid w:val="001004C8"/>
    <w:rsid w:val="001055C2"/>
    <w:rsid w:val="001161E4"/>
    <w:rsid w:val="00125A26"/>
    <w:rsid w:val="001352A8"/>
    <w:rsid w:val="00146BA7"/>
    <w:rsid w:val="001500D6"/>
    <w:rsid w:val="0015376F"/>
    <w:rsid w:val="00154C28"/>
    <w:rsid w:val="00155A4C"/>
    <w:rsid w:val="001614E0"/>
    <w:rsid w:val="00164B0B"/>
    <w:rsid w:val="001716AF"/>
    <w:rsid w:val="00171BD8"/>
    <w:rsid w:val="0017653E"/>
    <w:rsid w:val="00182269"/>
    <w:rsid w:val="00182B01"/>
    <w:rsid w:val="001840D2"/>
    <w:rsid w:val="001966D7"/>
    <w:rsid w:val="001B6A1C"/>
    <w:rsid w:val="001C4D2E"/>
    <w:rsid w:val="001C52DD"/>
    <w:rsid w:val="001C7E35"/>
    <w:rsid w:val="001E3C06"/>
    <w:rsid w:val="001E600F"/>
    <w:rsid w:val="001F0037"/>
    <w:rsid w:val="001F04EF"/>
    <w:rsid w:val="001F0BE9"/>
    <w:rsid w:val="0020115B"/>
    <w:rsid w:val="00202D79"/>
    <w:rsid w:val="00205D2F"/>
    <w:rsid w:val="002075B1"/>
    <w:rsid w:val="00213AE3"/>
    <w:rsid w:val="00214E62"/>
    <w:rsid w:val="00215D1C"/>
    <w:rsid w:val="00215E8F"/>
    <w:rsid w:val="00222651"/>
    <w:rsid w:val="002322BB"/>
    <w:rsid w:val="00236C49"/>
    <w:rsid w:val="0024288C"/>
    <w:rsid w:val="00251254"/>
    <w:rsid w:val="00251CE3"/>
    <w:rsid w:val="002548D1"/>
    <w:rsid w:val="00262DEE"/>
    <w:rsid w:val="0026342A"/>
    <w:rsid w:val="002701A5"/>
    <w:rsid w:val="0027283B"/>
    <w:rsid w:val="0028019B"/>
    <w:rsid w:val="00283CAB"/>
    <w:rsid w:val="002A3FEF"/>
    <w:rsid w:val="002B54A6"/>
    <w:rsid w:val="002B7A26"/>
    <w:rsid w:val="002D7CFB"/>
    <w:rsid w:val="002F3EE9"/>
    <w:rsid w:val="002F62F7"/>
    <w:rsid w:val="00307F76"/>
    <w:rsid w:val="00321FBB"/>
    <w:rsid w:val="003255FF"/>
    <w:rsid w:val="00333FAA"/>
    <w:rsid w:val="003355D7"/>
    <w:rsid w:val="003557AA"/>
    <w:rsid w:val="0036201C"/>
    <w:rsid w:val="00367E96"/>
    <w:rsid w:val="00376768"/>
    <w:rsid w:val="00385796"/>
    <w:rsid w:val="0039295B"/>
    <w:rsid w:val="003A4E24"/>
    <w:rsid w:val="003C4A48"/>
    <w:rsid w:val="003E151D"/>
    <w:rsid w:val="003F3AFD"/>
    <w:rsid w:val="004076C8"/>
    <w:rsid w:val="004207E3"/>
    <w:rsid w:val="00421A4C"/>
    <w:rsid w:val="004238C2"/>
    <w:rsid w:val="00425D70"/>
    <w:rsid w:val="0042676F"/>
    <w:rsid w:val="00435B5D"/>
    <w:rsid w:val="004363F7"/>
    <w:rsid w:val="0044525C"/>
    <w:rsid w:val="004553F1"/>
    <w:rsid w:val="00470918"/>
    <w:rsid w:val="00471C1F"/>
    <w:rsid w:val="004809FA"/>
    <w:rsid w:val="00481FB5"/>
    <w:rsid w:val="004C4A75"/>
    <w:rsid w:val="004D2DA0"/>
    <w:rsid w:val="004D6754"/>
    <w:rsid w:val="004E14A4"/>
    <w:rsid w:val="004F50AE"/>
    <w:rsid w:val="004F54BD"/>
    <w:rsid w:val="004F56C5"/>
    <w:rsid w:val="004F5AFC"/>
    <w:rsid w:val="005068B9"/>
    <w:rsid w:val="00506E04"/>
    <w:rsid w:val="005354D0"/>
    <w:rsid w:val="0054172C"/>
    <w:rsid w:val="0054590F"/>
    <w:rsid w:val="005459EC"/>
    <w:rsid w:val="00555B55"/>
    <w:rsid w:val="00562BFD"/>
    <w:rsid w:val="005674A7"/>
    <w:rsid w:val="005718B5"/>
    <w:rsid w:val="005808FB"/>
    <w:rsid w:val="00582605"/>
    <w:rsid w:val="00591016"/>
    <w:rsid w:val="005B3F67"/>
    <w:rsid w:val="005D548F"/>
    <w:rsid w:val="005D6EF5"/>
    <w:rsid w:val="005D7B09"/>
    <w:rsid w:val="005E291B"/>
    <w:rsid w:val="005E3A10"/>
    <w:rsid w:val="005E601B"/>
    <w:rsid w:val="005E7509"/>
    <w:rsid w:val="005F004C"/>
    <w:rsid w:val="00616237"/>
    <w:rsid w:val="00645B8B"/>
    <w:rsid w:val="00650FA4"/>
    <w:rsid w:val="0065376F"/>
    <w:rsid w:val="00655044"/>
    <w:rsid w:val="00666922"/>
    <w:rsid w:val="00670F17"/>
    <w:rsid w:val="006710C7"/>
    <w:rsid w:val="00672D68"/>
    <w:rsid w:val="00684DFB"/>
    <w:rsid w:val="00696A83"/>
    <w:rsid w:val="006B7314"/>
    <w:rsid w:val="006C343F"/>
    <w:rsid w:val="006C3B0E"/>
    <w:rsid w:val="006C45CC"/>
    <w:rsid w:val="006C580A"/>
    <w:rsid w:val="006D1E69"/>
    <w:rsid w:val="006E49E3"/>
    <w:rsid w:val="006F057C"/>
    <w:rsid w:val="006F22DA"/>
    <w:rsid w:val="006F2EB3"/>
    <w:rsid w:val="006F57D2"/>
    <w:rsid w:val="007116B1"/>
    <w:rsid w:val="00714BEE"/>
    <w:rsid w:val="00717078"/>
    <w:rsid w:val="007174EB"/>
    <w:rsid w:val="00721215"/>
    <w:rsid w:val="007248E9"/>
    <w:rsid w:val="00734441"/>
    <w:rsid w:val="007400CF"/>
    <w:rsid w:val="0075784F"/>
    <w:rsid w:val="00776927"/>
    <w:rsid w:val="00780E0C"/>
    <w:rsid w:val="00784968"/>
    <w:rsid w:val="00790714"/>
    <w:rsid w:val="007955C6"/>
    <w:rsid w:val="007B23FC"/>
    <w:rsid w:val="007B6A12"/>
    <w:rsid w:val="007C6424"/>
    <w:rsid w:val="007C6EFF"/>
    <w:rsid w:val="007D0C1D"/>
    <w:rsid w:val="007D106B"/>
    <w:rsid w:val="007D2000"/>
    <w:rsid w:val="007D4DBF"/>
    <w:rsid w:val="007E4732"/>
    <w:rsid w:val="007E4BA4"/>
    <w:rsid w:val="007F004E"/>
    <w:rsid w:val="007F1DA9"/>
    <w:rsid w:val="007F335A"/>
    <w:rsid w:val="007F5ADA"/>
    <w:rsid w:val="00803104"/>
    <w:rsid w:val="00812901"/>
    <w:rsid w:val="00826B9A"/>
    <w:rsid w:val="00851CCD"/>
    <w:rsid w:val="0085266D"/>
    <w:rsid w:val="00862164"/>
    <w:rsid w:val="0086278D"/>
    <w:rsid w:val="00882520"/>
    <w:rsid w:val="00884B6A"/>
    <w:rsid w:val="008927F6"/>
    <w:rsid w:val="00895439"/>
    <w:rsid w:val="008A146B"/>
    <w:rsid w:val="008A5AA0"/>
    <w:rsid w:val="008B68A7"/>
    <w:rsid w:val="008B7B90"/>
    <w:rsid w:val="008C21F3"/>
    <w:rsid w:val="008C7D8F"/>
    <w:rsid w:val="008E1432"/>
    <w:rsid w:val="008E224D"/>
    <w:rsid w:val="008F0F4A"/>
    <w:rsid w:val="008F3B48"/>
    <w:rsid w:val="00901127"/>
    <w:rsid w:val="009114EF"/>
    <w:rsid w:val="009126AF"/>
    <w:rsid w:val="009211D3"/>
    <w:rsid w:val="0092530B"/>
    <w:rsid w:val="0094208C"/>
    <w:rsid w:val="00942F17"/>
    <w:rsid w:val="00952CEF"/>
    <w:rsid w:val="00955421"/>
    <w:rsid w:val="0096072A"/>
    <w:rsid w:val="009612DB"/>
    <w:rsid w:val="0096134E"/>
    <w:rsid w:val="00973F10"/>
    <w:rsid w:val="00990E9C"/>
    <w:rsid w:val="00994542"/>
    <w:rsid w:val="00994908"/>
    <w:rsid w:val="009A157C"/>
    <w:rsid w:val="009B160B"/>
    <w:rsid w:val="009C237B"/>
    <w:rsid w:val="009D3442"/>
    <w:rsid w:val="009D3A45"/>
    <w:rsid w:val="009E5A93"/>
    <w:rsid w:val="009F38A9"/>
    <w:rsid w:val="00A06788"/>
    <w:rsid w:val="00A20113"/>
    <w:rsid w:val="00A20D78"/>
    <w:rsid w:val="00A2215F"/>
    <w:rsid w:val="00A22839"/>
    <w:rsid w:val="00A23E19"/>
    <w:rsid w:val="00A33185"/>
    <w:rsid w:val="00A352B4"/>
    <w:rsid w:val="00A53B04"/>
    <w:rsid w:val="00A5778F"/>
    <w:rsid w:val="00A661F4"/>
    <w:rsid w:val="00A7271A"/>
    <w:rsid w:val="00A765CF"/>
    <w:rsid w:val="00A81B1D"/>
    <w:rsid w:val="00A81E19"/>
    <w:rsid w:val="00AA3187"/>
    <w:rsid w:val="00AB795F"/>
    <w:rsid w:val="00AC6312"/>
    <w:rsid w:val="00AD6D80"/>
    <w:rsid w:val="00AF3B23"/>
    <w:rsid w:val="00AF7FCB"/>
    <w:rsid w:val="00B1160D"/>
    <w:rsid w:val="00B444E6"/>
    <w:rsid w:val="00B52011"/>
    <w:rsid w:val="00B52507"/>
    <w:rsid w:val="00B53EFF"/>
    <w:rsid w:val="00B54AFA"/>
    <w:rsid w:val="00B60996"/>
    <w:rsid w:val="00B617E9"/>
    <w:rsid w:val="00B671A4"/>
    <w:rsid w:val="00B804E8"/>
    <w:rsid w:val="00B844A7"/>
    <w:rsid w:val="00B9717D"/>
    <w:rsid w:val="00BB1785"/>
    <w:rsid w:val="00BB5ABF"/>
    <w:rsid w:val="00BC206C"/>
    <w:rsid w:val="00BC431A"/>
    <w:rsid w:val="00BC4669"/>
    <w:rsid w:val="00BC5080"/>
    <w:rsid w:val="00BD613D"/>
    <w:rsid w:val="00BE4EA4"/>
    <w:rsid w:val="00BF757B"/>
    <w:rsid w:val="00C01A35"/>
    <w:rsid w:val="00C03772"/>
    <w:rsid w:val="00C04EDA"/>
    <w:rsid w:val="00C078F3"/>
    <w:rsid w:val="00C119A2"/>
    <w:rsid w:val="00C46D32"/>
    <w:rsid w:val="00C57267"/>
    <w:rsid w:val="00C6079F"/>
    <w:rsid w:val="00C62B63"/>
    <w:rsid w:val="00C65930"/>
    <w:rsid w:val="00C72B5B"/>
    <w:rsid w:val="00C84B4E"/>
    <w:rsid w:val="00C91784"/>
    <w:rsid w:val="00CD6F57"/>
    <w:rsid w:val="00CD7D5D"/>
    <w:rsid w:val="00CF0FC4"/>
    <w:rsid w:val="00CF36AA"/>
    <w:rsid w:val="00CF6932"/>
    <w:rsid w:val="00CF6E22"/>
    <w:rsid w:val="00D01FE3"/>
    <w:rsid w:val="00D06CA3"/>
    <w:rsid w:val="00D07F46"/>
    <w:rsid w:val="00D113A4"/>
    <w:rsid w:val="00D14E13"/>
    <w:rsid w:val="00D170E5"/>
    <w:rsid w:val="00D225B3"/>
    <w:rsid w:val="00D2346D"/>
    <w:rsid w:val="00D37F2F"/>
    <w:rsid w:val="00D40B29"/>
    <w:rsid w:val="00D415B9"/>
    <w:rsid w:val="00D42FEF"/>
    <w:rsid w:val="00D528E8"/>
    <w:rsid w:val="00D567C1"/>
    <w:rsid w:val="00D62F33"/>
    <w:rsid w:val="00D6323E"/>
    <w:rsid w:val="00D771D0"/>
    <w:rsid w:val="00D77DD0"/>
    <w:rsid w:val="00D835CF"/>
    <w:rsid w:val="00D95AEA"/>
    <w:rsid w:val="00DA26FB"/>
    <w:rsid w:val="00DA3EED"/>
    <w:rsid w:val="00DB2644"/>
    <w:rsid w:val="00DB6C3D"/>
    <w:rsid w:val="00DC0FF7"/>
    <w:rsid w:val="00DC5ACF"/>
    <w:rsid w:val="00DD1639"/>
    <w:rsid w:val="00DD7468"/>
    <w:rsid w:val="00DE2475"/>
    <w:rsid w:val="00DE25E9"/>
    <w:rsid w:val="00DE71D3"/>
    <w:rsid w:val="00DE72CF"/>
    <w:rsid w:val="00DF064A"/>
    <w:rsid w:val="00DF08A0"/>
    <w:rsid w:val="00E03C46"/>
    <w:rsid w:val="00E065F7"/>
    <w:rsid w:val="00E16032"/>
    <w:rsid w:val="00E20DD1"/>
    <w:rsid w:val="00E21716"/>
    <w:rsid w:val="00E23BF5"/>
    <w:rsid w:val="00E2455E"/>
    <w:rsid w:val="00E55D55"/>
    <w:rsid w:val="00E70760"/>
    <w:rsid w:val="00E72F3E"/>
    <w:rsid w:val="00E90015"/>
    <w:rsid w:val="00E9253C"/>
    <w:rsid w:val="00E97D5B"/>
    <w:rsid w:val="00EA3007"/>
    <w:rsid w:val="00EA685F"/>
    <w:rsid w:val="00EB45B5"/>
    <w:rsid w:val="00EB5E57"/>
    <w:rsid w:val="00EB61DB"/>
    <w:rsid w:val="00ED4AFD"/>
    <w:rsid w:val="00EE4FBE"/>
    <w:rsid w:val="00F16A2C"/>
    <w:rsid w:val="00F212E4"/>
    <w:rsid w:val="00F22D52"/>
    <w:rsid w:val="00F341D7"/>
    <w:rsid w:val="00F41538"/>
    <w:rsid w:val="00F4165F"/>
    <w:rsid w:val="00F528B8"/>
    <w:rsid w:val="00F5649A"/>
    <w:rsid w:val="00F56D9D"/>
    <w:rsid w:val="00F647E5"/>
    <w:rsid w:val="00F67DC5"/>
    <w:rsid w:val="00F82342"/>
    <w:rsid w:val="00F877DB"/>
    <w:rsid w:val="00F91AE4"/>
    <w:rsid w:val="00F92E01"/>
    <w:rsid w:val="00F93C8B"/>
    <w:rsid w:val="00F959DD"/>
    <w:rsid w:val="00F960D5"/>
    <w:rsid w:val="00FA4B6A"/>
    <w:rsid w:val="00FB1231"/>
    <w:rsid w:val="00FC0862"/>
    <w:rsid w:val="00FC1C5C"/>
    <w:rsid w:val="00FD0255"/>
    <w:rsid w:val="00FE17E2"/>
    <w:rsid w:val="00FF0923"/>
    <w:rsid w:val="00FF6B9A"/>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D225B3"/>
    <w:pPr>
      <w:spacing w:after="160" w:line="240" w:lineRule="exact"/>
    </w:pPr>
    <w:rPr>
      <w:rFonts w:ascii="Verdana" w:hAnsi="Verdana"/>
      <w:sz w:val="20"/>
      <w:lang w:val="en-US"/>
    </w:rPr>
  </w:style>
  <w:style w:type="character" w:customStyle="1" w:styleId="Heading2Char">
    <w:name w:val="Heading 2 Char"/>
    <w:link w:val="Heading2"/>
    <w:rsid w:val="00214E62"/>
    <w:rPr>
      <w:rFonts w:ascii="Arial" w:hAnsi="Arial" w:cs="Arial"/>
      <w:b/>
      <w:bCs/>
      <w:sz w:val="28"/>
      <w:szCs w:val="32"/>
      <w:lang w:eastAsia="en-US"/>
    </w:rPr>
  </w:style>
  <w:style w:type="character" w:customStyle="1" w:styleId="Heading4Char">
    <w:name w:val="Heading 4 Char"/>
    <w:link w:val="Heading4"/>
    <w:rsid w:val="007D106B"/>
    <w:rPr>
      <w:rFonts w:ascii="Arial" w:hAnsi="Arial" w:cs="Arial"/>
      <w:b/>
      <w:sz w:val="24"/>
      <w:lang w:eastAsia="en-US"/>
    </w:rPr>
  </w:style>
  <w:style w:type="paragraph" w:styleId="BalloonText">
    <w:name w:val="Balloon Text"/>
    <w:basedOn w:val="Normal"/>
    <w:link w:val="BalloonTextChar"/>
    <w:rsid w:val="00470918"/>
    <w:rPr>
      <w:rFonts w:ascii="Tahoma" w:hAnsi="Tahoma" w:cs="Tahoma"/>
      <w:sz w:val="16"/>
      <w:szCs w:val="16"/>
    </w:rPr>
  </w:style>
  <w:style w:type="character" w:customStyle="1" w:styleId="BalloonTextChar">
    <w:name w:val="Balloon Text Char"/>
    <w:basedOn w:val="DefaultParagraphFont"/>
    <w:link w:val="BalloonText"/>
    <w:rsid w:val="00470918"/>
    <w:rPr>
      <w:rFonts w:ascii="Tahoma" w:hAnsi="Tahoma" w:cs="Tahoma"/>
      <w:sz w:val="16"/>
      <w:szCs w:val="16"/>
      <w:lang w:eastAsia="en-US"/>
    </w:rPr>
  </w:style>
  <w:style w:type="character" w:styleId="CommentReference">
    <w:name w:val="annotation reference"/>
    <w:basedOn w:val="DefaultParagraphFont"/>
    <w:rsid w:val="00470918"/>
    <w:rPr>
      <w:sz w:val="16"/>
      <w:szCs w:val="16"/>
    </w:rPr>
  </w:style>
  <w:style w:type="paragraph" w:styleId="CommentText">
    <w:name w:val="annotation text"/>
    <w:basedOn w:val="Normal"/>
    <w:link w:val="CommentTextChar"/>
    <w:rsid w:val="00470918"/>
    <w:rPr>
      <w:sz w:val="20"/>
    </w:rPr>
  </w:style>
  <w:style w:type="character" w:customStyle="1" w:styleId="CommentTextChar">
    <w:name w:val="Comment Text Char"/>
    <w:basedOn w:val="DefaultParagraphFont"/>
    <w:link w:val="CommentText"/>
    <w:rsid w:val="00470918"/>
    <w:rPr>
      <w:rFonts w:ascii="Arial" w:hAnsi="Arial"/>
      <w:lang w:eastAsia="en-US"/>
    </w:rPr>
  </w:style>
  <w:style w:type="paragraph" w:styleId="CommentSubject">
    <w:name w:val="annotation subject"/>
    <w:basedOn w:val="CommentText"/>
    <w:next w:val="CommentText"/>
    <w:link w:val="CommentSubjectChar"/>
    <w:rsid w:val="00470918"/>
    <w:rPr>
      <w:b/>
      <w:bCs/>
    </w:rPr>
  </w:style>
  <w:style w:type="character" w:customStyle="1" w:styleId="CommentSubjectChar">
    <w:name w:val="Comment Subject Char"/>
    <w:basedOn w:val="CommentTextChar"/>
    <w:link w:val="CommentSubject"/>
    <w:rsid w:val="00470918"/>
    <w:rPr>
      <w:rFonts w:ascii="Arial" w:hAnsi="Arial"/>
      <w:b/>
      <w:bCs/>
      <w:lang w:eastAsia="en-US"/>
    </w:rPr>
  </w:style>
  <w:style w:type="character" w:customStyle="1" w:styleId="Heading3Char">
    <w:name w:val="Heading 3 Char"/>
    <w:basedOn w:val="DefaultParagraphFont"/>
    <w:link w:val="Heading3"/>
    <w:rsid w:val="00BB1785"/>
    <w:rPr>
      <w:rFonts w:ascii="Arial" w:hAnsi="Arial" w:cs="Arial"/>
      <w:b/>
      <w:bCs/>
      <w:i/>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D225B3"/>
    <w:pPr>
      <w:spacing w:after="160" w:line="240" w:lineRule="exact"/>
    </w:pPr>
    <w:rPr>
      <w:rFonts w:ascii="Verdana" w:hAnsi="Verdana"/>
      <w:sz w:val="20"/>
      <w:lang w:val="en-US"/>
    </w:rPr>
  </w:style>
  <w:style w:type="character" w:customStyle="1" w:styleId="Heading2Char">
    <w:name w:val="Heading 2 Char"/>
    <w:link w:val="Heading2"/>
    <w:rsid w:val="00214E62"/>
    <w:rPr>
      <w:rFonts w:ascii="Arial" w:hAnsi="Arial" w:cs="Arial"/>
      <w:b/>
      <w:bCs/>
      <w:sz w:val="28"/>
      <w:szCs w:val="32"/>
      <w:lang w:eastAsia="en-US"/>
    </w:rPr>
  </w:style>
  <w:style w:type="character" w:customStyle="1" w:styleId="Heading4Char">
    <w:name w:val="Heading 4 Char"/>
    <w:link w:val="Heading4"/>
    <w:rsid w:val="007D106B"/>
    <w:rPr>
      <w:rFonts w:ascii="Arial" w:hAnsi="Arial" w:cs="Arial"/>
      <w:b/>
      <w:sz w:val="24"/>
      <w:lang w:eastAsia="en-US"/>
    </w:rPr>
  </w:style>
  <w:style w:type="paragraph" w:styleId="BalloonText">
    <w:name w:val="Balloon Text"/>
    <w:basedOn w:val="Normal"/>
    <w:link w:val="BalloonTextChar"/>
    <w:rsid w:val="00470918"/>
    <w:rPr>
      <w:rFonts w:ascii="Tahoma" w:hAnsi="Tahoma" w:cs="Tahoma"/>
      <w:sz w:val="16"/>
      <w:szCs w:val="16"/>
    </w:rPr>
  </w:style>
  <w:style w:type="character" w:customStyle="1" w:styleId="BalloonTextChar">
    <w:name w:val="Balloon Text Char"/>
    <w:basedOn w:val="DefaultParagraphFont"/>
    <w:link w:val="BalloonText"/>
    <w:rsid w:val="00470918"/>
    <w:rPr>
      <w:rFonts w:ascii="Tahoma" w:hAnsi="Tahoma" w:cs="Tahoma"/>
      <w:sz w:val="16"/>
      <w:szCs w:val="16"/>
      <w:lang w:eastAsia="en-US"/>
    </w:rPr>
  </w:style>
  <w:style w:type="character" w:styleId="CommentReference">
    <w:name w:val="annotation reference"/>
    <w:basedOn w:val="DefaultParagraphFont"/>
    <w:rsid w:val="00470918"/>
    <w:rPr>
      <w:sz w:val="16"/>
      <w:szCs w:val="16"/>
    </w:rPr>
  </w:style>
  <w:style w:type="paragraph" w:styleId="CommentText">
    <w:name w:val="annotation text"/>
    <w:basedOn w:val="Normal"/>
    <w:link w:val="CommentTextChar"/>
    <w:rsid w:val="00470918"/>
    <w:rPr>
      <w:sz w:val="20"/>
    </w:rPr>
  </w:style>
  <w:style w:type="character" w:customStyle="1" w:styleId="CommentTextChar">
    <w:name w:val="Comment Text Char"/>
    <w:basedOn w:val="DefaultParagraphFont"/>
    <w:link w:val="CommentText"/>
    <w:rsid w:val="00470918"/>
    <w:rPr>
      <w:rFonts w:ascii="Arial" w:hAnsi="Arial"/>
      <w:lang w:eastAsia="en-US"/>
    </w:rPr>
  </w:style>
  <w:style w:type="paragraph" w:styleId="CommentSubject">
    <w:name w:val="annotation subject"/>
    <w:basedOn w:val="CommentText"/>
    <w:next w:val="CommentText"/>
    <w:link w:val="CommentSubjectChar"/>
    <w:rsid w:val="00470918"/>
    <w:rPr>
      <w:b/>
      <w:bCs/>
    </w:rPr>
  </w:style>
  <w:style w:type="character" w:customStyle="1" w:styleId="CommentSubjectChar">
    <w:name w:val="Comment Subject Char"/>
    <w:basedOn w:val="CommentTextChar"/>
    <w:link w:val="CommentSubject"/>
    <w:rsid w:val="00470918"/>
    <w:rPr>
      <w:rFonts w:ascii="Arial" w:hAnsi="Arial"/>
      <w:b/>
      <w:bCs/>
      <w:lang w:eastAsia="en-US"/>
    </w:rPr>
  </w:style>
  <w:style w:type="character" w:customStyle="1" w:styleId="Heading3Char">
    <w:name w:val="Heading 3 Char"/>
    <w:basedOn w:val="DefaultParagraphFont"/>
    <w:link w:val="Heading3"/>
    <w:rsid w:val="00BB1785"/>
    <w:rPr>
      <w:rFonts w:ascii="Arial" w:hAnsi="Arial" w:cs="Arial"/>
      <w:b/>
      <w:bCs/>
      <w:i/>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13156966">
      <w:bodyDiv w:val="1"/>
      <w:marLeft w:val="0"/>
      <w:marRight w:val="0"/>
      <w:marTop w:val="0"/>
      <w:marBottom w:val="0"/>
      <w:divBdr>
        <w:top w:val="none" w:sz="0" w:space="0" w:color="auto"/>
        <w:left w:val="none" w:sz="0" w:space="0" w:color="auto"/>
        <w:bottom w:val="none" w:sz="0" w:space="0" w:color="auto"/>
        <w:right w:val="none" w:sz="0" w:space="0" w:color="auto"/>
      </w:divBdr>
    </w:div>
    <w:div w:id="1584684209">
      <w:bodyDiv w:val="1"/>
      <w:marLeft w:val="0"/>
      <w:marRight w:val="0"/>
      <w:marTop w:val="0"/>
      <w:marBottom w:val="0"/>
      <w:divBdr>
        <w:top w:val="none" w:sz="0" w:space="0" w:color="auto"/>
        <w:left w:val="none" w:sz="0" w:space="0" w:color="auto"/>
        <w:bottom w:val="none" w:sz="0" w:space="0" w:color="auto"/>
        <w:right w:val="none" w:sz="0" w:space="0" w:color="auto"/>
      </w:divBdr>
    </w:div>
    <w:div w:id="1587961429">
      <w:bodyDiv w:val="1"/>
      <w:marLeft w:val="0"/>
      <w:marRight w:val="0"/>
      <w:marTop w:val="0"/>
      <w:marBottom w:val="0"/>
      <w:divBdr>
        <w:top w:val="none" w:sz="0" w:space="0" w:color="auto"/>
        <w:left w:val="none" w:sz="0" w:space="0" w:color="auto"/>
        <w:bottom w:val="none" w:sz="0" w:space="0" w:color="auto"/>
        <w:right w:val="none" w:sz="0" w:space="0" w:color="auto"/>
      </w:divBdr>
    </w:div>
    <w:div w:id="19484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www.w3.org/XML/1998/namespace"/>
    <ds:schemaRef ds:uri="http://purl.org/dc/elements/1.1/"/>
    <ds:schemaRef ds:uri="http://schemas.microsoft.com/office/2006/documentManagement/types"/>
    <ds:schemaRef ds:uri="54c1341a-f0b2-450a-9883-97eea039321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48e9339-ef40-4192-ab59-a15ba5582753"/>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ED0A75-FD15-4ACB-8395-9F4163D2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3167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20667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5</cp:revision>
  <cp:lastPrinted>2020-01-29T15:17:00Z</cp:lastPrinted>
  <dcterms:created xsi:type="dcterms:W3CDTF">2020-03-06T13:55:00Z</dcterms:created>
  <dcterms:modified xsi:type="dcterms:W3CDTF">2020-03-11T14:18:00Z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